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西南财经大学交流学习项目宣传资料</w:t>
      </w:r>
    </w:p>
    <w:p>
      <w:p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5057775" cy="3374390"/>
            <wp:effectExtent l="0" t="0" r="9525" b="16510"/>
            <wp:docPr id="1" name="图片 1" descr="CB799B6E8B1ED543C08A2B608C7_81F6F52C_98F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799B6E8B1ED543C08A2B608C7_81F6F52C_98FC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0" w:right="0" w:firstLine="480" w:firstLineChars="200"/>
        <w:rPr>
          <w:rFonts w:hint="eastAsia" w:asciiTheme="majorEastAsia" w:hAnsiTheme="majorEastAsia" w:eastAsiaTheme="majorEastAsia" w:cstheme="majorEastAsia"/>
          <w:color w:val="333333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color w:val="333333"/>
          <w:sz w:val="24"/>
          <w:szCs w:val="24"/>
        </w:rPr>
        <w:t>西南财经大学天府学院建有绵阳校区、德阳校区、成都东区和成都西区四大校区，占地面积共计2100余亩。现有在校学生20800名，教职工1264人。绵阳校区坐落在中国科技城，四川省第二大城市——绵阳市，距省会成都市1.5小时车程；德阳校区位于德阳市罗江区高速公路出口附近，距省会成都市1小时车程；成都校区位于成都市东三环路二段龙潭总部经济城内</w:t>
      </w:r>
      <w:r>
        <w:rPr>
          <w:rFonts w:hint="eastAsia" w:asciiTheme="majorEastAsia" w:hAnsiTheme="majorEastAsia" w:eastAsiaTheme="majorEastAsia" w:cstheme="majorEastAsia"/>
          <w:color w:val="333333"/>
          <w:sz w:val="24"/>
          <w:szCs w:val="24"/>
          <w:lang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right="0"/>
        <w:rPr>
          <w:rFonts w:hint="eastAsia" w:asciiTheme="majorEastAsia" w:hAnsiTheme="majorEastAsia" w:eastAsiaTheme="majorEastAsia" w:cstheme="majorEastAsia"/>
          <w:color w:val="333333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color w:val="333333"/>
          <w:sz w:val="24"/>
          <w:szCs w:val="24"/>
          <w:lang w:eastAsia="zh-CN"/>
        </w:rPr>
        <w:drawing>
          <wp:inline distT="0" distB="0" distL="114300" distR="114300">
            <wp:extent cx="2584450" cy="1724660"/>
            <wp:effectExtent l="0" t="0" r="6350" b="8890"/>
            <wp:docPr id="2" name="图片 2" descr="F30700C0C1E61FB4E26DE58D907_02927F17_7E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30700C0C1E61FB4E26DE58D907_02927F17_7E9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color w:val="333333"/>
          <w:sz w:val="24"/>
          <w:szCs w:val="24"/>
          <w:lang w:eastAsia="zh-CN"/>
        </w:rPr>
        <w:drawing>
          <wp:inline distT="0" distB="0" distL="114300" distR="114300">
            <wp:extent cx="2620645" cy="1746885"/>
            <wp:effectExtent l="0" t="0" r="8255" b="5715"/>
            <wp:docPr id="3" name="图片 3" descr="B793883172388DC89AA5D034764_48987554_76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793883172388DC89AA5D034764_48987554_76A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0" w:right="0" w:firstLine="480" w:firstLineChars="200"/>
        <w:jc w:val="left"/>
        <w:rPr>
          <w:rFonts w:hint="eastAsia" w:asciiTheme="majorEastAsia" w:hAnsiTheme="majorEastAsia" w:eastAsiaTheme="majorEastAsia" w:cstheme="majorEastAsia"/>
          <w:color w:val="333333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color w:val="333333"/>
          <w:sz w:val="24"/>
          <w:szCs w:val="24"/>
        </w:rPr>
        <w:t>学校充分依托西南财经大学90余年的优良教育品牌，秉承高规格、高起点的办学理念，以“一个头脑(创新思维)，两个工具(英语和信息技术)，三个习惯（自信、自律、自学），四项品质（忠孝、廉耻、诚信、勤奋）”为培养目标，率先实现教育模式国际化、教学手段信息化、教学语言双语（汉语、英语）化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0" w:right="0" w:firstLine="480" w:firstLineChars="200"/>
        <w:jc w:val="left"/>
        <w:rPr>
          <w:rFonts w:hint="eastAsia" w:asciiTheme="majorEastAsia" w:hAnsiTheme="majorEastAsia" w:eastAsiaTheme="majorEastAsia" w:cstheme="majorEastAsia"/>
          <w:color w:val="333333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color w:val="333333"/>
          <w:sz w:val="24"/>
          <w:szCs w:val="24"/>
        </w:rPr>
        <w:t>学校大力推行雅典式、案例式、体验式、项目驱动式等为主要方法的课堂教学改革，着力培养学生的实际动手能力和创新能力。学校还建立了电子商务模拟环境、电子政务模拟环境、商业银行模拟环境、电子税务模拟环境、情景管理模拟环境等，为培养创新型实用型人才奠定了坚实的物质基础，创造了优良的育人条件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right="0"/>
        <w:jc w:val="left"/>
        <w:rPr>
          <w:rFonts w:hint="eastAsia" w:asciiTheme="majorEastAsia" w:hAnsiTheme="majorEastAsia" w:eastAsiaTheme="majorEastAsia" w:cstheme="majorEastAsia"/>
          <w:color w:val="333333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color w:val="333333"/>
          <w:sz w:val="24"/>
          <w:szCs w:val="24"/>
          <w:lang w:eastAsia="zh-CN"/>
        </w:rPr>
        <w:drawing>
          <wp:inline distT="0" distB="0" distL="114300" distR="114300">
            <wp:extent cx="2576195" cy="1685925"/>
            <wp:effectExtent l="0" t="0" r="14605" b="9525"/>
            <wp:docPr id="4" name="图片 4" descr="121E9B9EDD4373CD7B5ECFD75CE_1BCE0776_258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1E9B9EDD4373CD7B5ECFD75CE_1BCE0776_258B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color w:val="333333"/>
          <w:sz w:val="24"/>
          <w:szCs w:val="24"/>
          <w:lang w:eastAsia="zh-CN"/>
        </w:rPr>
        <w:drawing>
          <wp:inline distT="0" distB="0" distL="114300" distR="114300">
            <wp:extent cx="2662555" cy="1764665"/>
            <wp:effectExtent l="0" t="0" r="4445" b="6985"/>
            <wp:docPr id="5" name="图片 5" descr="40C2122575C849A5028196DDEAC_92E58A41_65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C2122575C849A5028196DDEAC_92E58A41_656E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6255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0" w:right="0" w:firstLine="480" w:firstLineChars="200"/>
        <w:jc w:val="left"/>
        <w:rPr>
          <w:rFonts w:hint="eastAsia" w:asciiTheme="majorEastAsia" w:hAnsiTheme="majorEastAsia" w:eastAsiaTheme="majorEastAsia" w:cstheme="majorEastAsia"/>
          <w:color w:val="333333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color w:val="333333"/>
          <w:sz w:val="24"/>
          <w:szCs w:val="24"/>
        </w:rPr>
        <w:t>学校在校园内大力营造“小社会、大课堂”的育人环境，提倡赏识教育和“关爱心灵，砺炼心志”的积极人生心态，广泛开展大学生职业生涯规划等一系列综合素质拓展活动。通过职业能力、兴趣爱好等方面的测评，帮助学生发现自身优势和特长，为学生的专业选择和未来发展方向提供科学依据和参考。通过个人发展咨询中的一对一咨询、团体咨询、同辈咨询以及心理讲座、工作坊等形式，引导学生了解自我，开发自身潜能，为学生进入社会、适应社会做好准备。同时，通过实施双导师制和学长制建立良好的师生及同辈沟通关系，帮助学生适应大学环境，提升综合素质，落实职业规划，取得了良好效果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right="0"/>
        <w:jc w:val="center"/>
        <w:rPr>
          <w:rFonts w:hint="eastAsia" w:asciiTheme="majorEastAsia" w:hAnsiTheme="majorEastAsia" w:eastAsiaTheme="majorEastAsia" w:cstheme="majorEastAsia"/>
          <w:color w:val="333333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color w:val="333333"/>
          <w:sz w:val="24"/>
          <w:szCs w:val="24"/>
          <w:lang w:eastAsia="zh-CN"/>
        </w:rPr>
        <w:drawing>
          <wp:inline distT="0" distB="0" distL="114300" distR="114300">
            <wp:extent cx="2585085" cy="2154555"/>
            <wp:effectExtent l="0" t="0" r="5715" b="17145"/>
            <wp:docPr id="6" name="图片 6" descr="E780C2D142D01FAD1192AF12DA5_E9E698CC_25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780C2D142D01FAD1192AF12DA5_E9E698CC_252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color w:val="333333"/>
          <w:sz w:val="24"/>
          <w:szCs w:val="24"/>
          <w:lang w:eastAsia="zh-CN"/>
        </w:rPr>
        <w:drawing>
          <wp:inline distT="0" distB="0" distL="114300" distR="114300">
            <wp:extent cx="2626360" cy="1970405"/>
            <wp:effectExtent l="0" t="0" r="2540" b="10795"/>
            <wp:docPr id="8" name="图片 8" descr="5DE2938DB21846C8C5B26BCA61C_BFF5411E_17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DE2938DB21846C8C5B26BCA61C_BFF5411E_177B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color w:val="333333"/>
          <w:sz w:val="24"/>
          <w:szCs w:val="24"/>
          <w:lang w:eastAsia="zh-CN"/>
        </w:rPr>
        <w:drawing>
          <wp:inline distT="0" distB="0" distL="114300" distR="114300">
            <wp:extent cx="4099560" cy="2059940"/>
            <wp:effectExtent l="0" t="0" r="15240" b="16510"/>
            <wp:docPr id="7" name="图片 7" descr="523AB265C7F90B97C132FB3769F_4759CEBA_D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23AB265C7F90B97C132FB3769F_4759CEBA_D6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0" w:right="0" w:firstLine="480" w:firstLineChars="200"/>
        <w:jc w:val="left"/>
        <w:rPr>
          <w:rFonts w:hint="eastAsia" w:asciiTheme="majorEastAsia" w:hAnsiTheme="majorEastAsia" w:eastAsiaTheme="majorEastAsia" w:cstheme="majorEastAsia"/>
          <w:color w:val="333333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0" w:right="0" w:firstLine="480" w:firstLineChars="200"/>
        <w:jc w:val="left"/>
        <w:rPr>
          <w:rFonts w:hint="eastAsia" w:asciiTheme="majorEastAsia" w:hAnsiTheme="majorEastAsia" w:eastAsiaTheme="majorEastAsia" w:cstheme="majorEastAsia"/>
          <w:color w:val="333333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color w:val="333333"/>
          <w:sz w:val="24"/>
          <w:szCs w:val="24"/>
        </w:rPr>
        <w:t>学校拥有现代化的教学、科研、体育运动和后勤生活设施，教学场地充足，设施先进齐全，学生住宿条件优良。全校建有各类现代化多媒体教室240余间；图书馆现有纸质图书120万册，电子图书105余万册，教学用计算机4300多台，实验大楼教学仪器设施完善，设备先进，可满足25000余名学生的上机实习和实验教学要求；主干千兆的校园网络延伸到了每个教室、每间学生宿舍和实验室的每个桌面，共计有38860个信息点，网上教学、科研资源丰富；各类体育设施、设备完善，建有标准人工草坪足球场、塑胶跑道田径场、标准塑胶篮球场、标准塑胶排球场、标准塑胶网球场以及标准游泳池等运动设施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0" w:right="0" w:firstLine="480" w:firstLineChars="200"/>
        <w:jc w:val="left"/>
        <w:rPr>
          <w:rFonts w:hint="eastAsia" w:asciiTheme="majorEastAsia" w:hAnsiTheme="majorEastAsia" w:eastAsiaTheme="majorEastAsia" w:cstheme="majorEastAsia"/>
          <w:color w:val="333333"/>
          <w:sz w:val="24"/>
          <w:szCs w:val="24"/>
        </w:rPr>
      </w:pPr>
      <w:r>
        <w:rPr>
          <w:rFonts w:hint="default" w:asciiTheme="majorEastAsia" w:hAnsiTheme="majorEastAsia" w:eastAsiaTheme="majorEastAsia" w:cstheme="majorEastAsia"/>
          <w:color w:val="333333"/>
          <w:sz w:val="24"/>
          <w:szCs w:val="24"/>
        </w:rPr>
        <w:t>学校以“崇文尚武、敏思践行”为校训，坚持以经济、管理、文学、艺术、工学学科为主体，经济、管理学科为主干，各学科相互支撑、交叉渗透、协调发展的专业设置思路，转变教育思想，改革教学方法，大力推进课程及课程体系国际化进程，利用新的机制和模式与国外大学开展多层次联合办学，培养政治思想坚定，具有正确的世界观、人生观、价值观，具备扎实的专业知识和人文素养，熟练掌握外语和信息技术，拥有国际视野和财经思维头脑，适合现代社会发展和经济建设需要的应用型、复合型高级专门人才。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0" w:right="0" w:firstLine="480" w:firstLineChars="200"/>
        <w:jc w:val="left"/>
        <w:rPr>
          <w:rFonts w:hint="eastAsia" w:asciiTheme="majorEastAsia" w:hAnsiTheme="majorEastAsia" w:eastAsiaTheme="majorEastAsia" w:cstheme="majorEastAsia"/>
          <w:color w:val="333333"/>
          <w:sz w:val="24"/>
          <w:szCs w:val="24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right="0"/>
        <w:jc w:val="left"/>
        <w:rPr>
          <w:rFonts w:hint="eastAsia" w:asciiTheme="majorEastAsia" w:hAnsiTheme="majorEastAsia" w:eastAsiaTheme="majorEastAsia" w:cstheme="majorEastAsia"/>
          <w:color w:val="333333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color w:val="333333"/>
          <w:sz w:val="24"/>
          <w:szCs w:val="24"/>
          <w:lang w:eastAsia="zh-CN"/>
        </w:rPr>
        <w:drawing>
          <wp:inline distT="0" distB="0" distL="114300" distR="114300">
            <wp:extent cx="2570480" cy="1712595"/>
            <wp:effectExtent l="0" t="0" r="1270" b="1905"/>
            <wp:docPr id="9" name="图片 9" descr="F4B3FBF003A672111BA6C7C6230_C978518B_1F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4B3FBF003A672111BA6C7C6230_C978518B_1FC6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color w:val="333333"/>
          <w:sz w:val="24"/>
          <w:szCs w:val="24"/>
          <w:lang w:eastAsia="zh-CN"/>
        </w:rPr>
        <w:drawing>
          <wp:inline distT="0" distB="0" distL="114300" distR="114300">
            <wp:extent cx="2681605" cy="1788160"/>
            <wp:effectExtent l="0" t="0" r="4445" b="2540"/>
            <wp:docPr id="11" name="图片 11" descr="EE2B79B1E2B535E6511F8DAD10D_7D6931F1_12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E2B79B1E2B535E6511F8DAD10D_7D6931F1_123F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5045BA"/>
    <w:rsid w:val="62444140"/>
    <w:rsid w:val="641A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11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0" w:after="15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uiPriority w:val="0"/>
    <w:rPr>
      <w:color w:val="000000"/>
      <w:u w:val="none"/>
    </w:rPr>
  </w:style>
  <w:style w:type="character" w:styleId="6">
    <w:name w:val="HTML Definition"/>
    <w:basedOn w:val="3"/>
    <w:uiPriority w:val="0"/>
    <w:rPr>
      <w:i/>
    </w:rPr>
  </w:style>
  <w:style w:type="character" w:styleId="7">
    <w:name w:val="Hyperlink"/>
    <w:basedOn w:val="3"/>
    <w:uiPriority w:val="0"/>
    <w:rPr>
      <w:color w:val="000000"/>
      <w:u w:val="none"/>
    </w:rPr>
  </w:style>
  <w:style w:type="character" w:styleId="8">
    <w:name w:val="HTML Code"/>
    <w:basedOn w:val="3"/>
    <w:qFormat/>
    <w:uiPriority w:val="0"/>
    <w:rPr>
      <w:rFonts w:ascii="Consolas" w:hAnsi="Consolas" w:eastAsia="Consolas" w:cs="Consolas"/>
      <w:color w:val="C7254E"/>
      <w:sz w:val="21"/>
      <w:szCs w:val="21"/>
      <w:shd w:val="clear" w:fill="F9F2F4"/>
    </w:rPr>
  </w:style>
  <w:style w:type="character" w:styleId="9">
    <w:name w:val="HTML Keyboard"/>
    <w:basedOn w:val="3"/>
    <w:uiPriority w:val="0"/>
    <w:rPr>
      <w:rFonts w:hint="default" w:ascii="Consolas" w:hAnsi="Consolas" w:eastAsia="Consolas" w:cs="Consolas"/>
      <w:color w:val="FFFFFF"/>
      <w:sz w:val="21"/>
      <w:szCs w:val="21"/>
      <w:shd w:val="clear" w:fill="333333"/>
    </w:rPr>
  </w:style>
  <w:style w:type="character" w:styleId="10">
    <w:name w:val="HTML Sample"/>
    <w:basedOn w:val="3"/>
    <w:uiPriority w:val="0"/>
    <w:rPr>
      <w:rFonts w:hint="default" w:ascii="Consolas" w:hAnsi="Consolas" w:eastAsia="Consolas" w:cs="Consolas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2018-09-27T02:51:25Z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