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47" w:leftChars="-171" w:firstLine="323" w:firstLineChars="101"/>
        <w:rPr>
          <w:rFonts w:ascii="黑体" w:hAnsi="Times New Roman" w:eastAsia="黑体" w:cs="Times New Roman"/>
          <w:b/>
          <w:bCs/>
          <w:spacing w:val="-20"/>
          <w:sz w:val="32"/>
          <w:szCs w:val="32"/>
        </w:rPr>
      </w:pPr>
      <w:r>
        <w:rPr>
          <w:rFonts w:hint="eastAsia" w:ascii="黑体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sz w:val="32"/>
          <w:szCs w:val="32"/>
        </w:rPr>
        <w:t xml:space="preserve">  </w:t>
      </w:r>
    </w:p>
    <w:p>
      <w:pPr>
        <w:ind w:left="-547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547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547" w:leftChars="-171" w:firstLine="284" w:firstLineChars="101"/>
        <w:jc w:val="center"/>
        <w:rPr>
          <w:rFonts w:ascii="Times New Roman" w:hAnsi="Times New Roman" w:eastAsia="隶书" w:cs="Times New Roman"/>
          <w:b/>
          <w:bCs/>
          <w:spacing w:val="-20"/>
          <w:sz w:val="32"/>
          <w:szCs w:val="24"/>
        </w:rPr>
      </w:pPr>
    </w:p>
    <w:p>
      <w:pPr>
        <w:ind w:left="-547" w:leftChars="-171" w:firstLine="484" w:firstLineChars="101"/>
        <w:jc w:val="center"/>
        <w:rPr>
          <w:rFonts w:ascii="黑体" w:hAnsi="黑体" w:eastAsia="黑体" w:cs="Times New Roman"/>
          <w:bCs/>
          <w:spacing w:val="-20"/>
          <w:sz w:val="52"/>
          <w:szCs w:val="52"/>
        </w:rPr>
      </w:pPr>
      <w:r>
        <w:rPr>
          <w:rFonts w:hint="eastAsia" w:ascii="黑体" w:hAnsi="黑体" w:eastAsia="黑体" w:cs="Times New Roman"/>
          <w:bCs/>
          <w:spacing w:val="-20"/>
          <w:sz w:val="52"/>
          <w:szCs w:val="52"/>
          <w:lang w:eastAsia="zh-CN"/>
        </w:rPr>
        <w:t>福建省</w:t>
      </w:r>
      <w:r>
        <w:rPr>
          <w:rFonts w:hint="eastAsia" w:ascii="黑体" w:hAnsi="黑体" w:eastAsia="黑体" w:cs="Times New Roman"/>
          <w:bCs/>
          <w:spacing w:val="-20"/>
          <w:sz w:val="52"/>
          <w:szCs w:val="52"/>
        </w:rPr>
        <w:t>一流本科专业建设点</w:t>
      </w:r>
    </w:p>
    <w:p>
      <w:pPr>
        <w:ind w:left="-547" w:leftChars="-171" w:firstLine="525" w:firstLineChars="101"/>
        <w:jc w:val="center"/>
        <w:rPr>
          <w:rFonts w:ascii="黑体" w:hAnsi="黑体" w:eastAsia="黑体" w:cs="Times New Roman"/>
          <w:bCs/>
          <w:sz w:val="52"/>
          <w:szCs w:val="52"/>
        </w:rPr>
      </w:pPr>
      <w:r>
        <w:rPr>
          <w:rFonts w:hint="eastAsia" w:ascii="黑体" w:hAnsi="黑体" w:eastAsia="黑体" w:cs="Times New Roman"/>
          <w:bCs/>
          <w:sz w:val="52"/>
          <w:szCs w:val="52"/>
        </w:rPr>
        <w:t>信息采集表</w:t>
      </w:r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32"/>
          <w:szCs w:val="32"/>
        </w:rPr>
      </w:pPr>
      <w:bookmarkStart w:id="1" w:name="_GoBack"/>
      <w:bookmarkEnd w:id="1"/>
    </w:p>
    <w:p>
      <w:pPr>
        <w:rPr>
          <w:rFonts w:ascii="Times New Roman" w:hAnsi="Times New Roman" w:eastAsia="宋体" w:cs="Times New Roman"/>
          <w:sz w:val="32"/>
          <w:szCs w:val="32"/>
        </w:rPr>
      </w:pPr>
    </w:p>
    <w:p>
      <w:pPr>
        <w:ind w:firstLine="1440" w:firstLineChars="400"/>
        <w:rPr>
          <w:rFonts w:ascii="Times New Roman" w:hAnsi="Times New Roman" w:eastAsia="宋体" w:cs="Times New Roman"/>
          <w:szCs w:val="24"/>
        </w:rPr>
      </w:pPr>
      <w:r>
        <w:rPr>
          <w:rFonts w:hint="eastAsia" w:ascii="Arial" w:hAnsi="Arial" w:eastAsia="楷体_GB2312" w:cs="Times New Roman"/>
          <w:sz w:val="36"/>
          <w:szCs w:val="24"/>
        </w:rPr>
        <w:t>高校名称：</w:t>
      </w:r>
      <w:r>
        <w:rPr>
          <w:rFonts w:hint="eastAsia" w:ascii="Arial" w:hAnsi="Arial" w:eastAsia="楷体_GB2312" w:cs="Times New Roman"/>
          <w:sz w:val="36"/>
          <w:szCs w:val="24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szCs w:val="24"/>
          <w:u w:val="single"/>
        </w:rPr>
        <w:t xml:space="preserve">                          </w:t>
      </w:r>
      <w:r>
        <w:rPr>
          <w:rFonts w:hint="eastAsia" w:ascii="Arial" w:hAnsi="Arial" w:eastAsia="楷体_GB2312" w:cs="Times New Roman"/>
          <w:sz w:val="36"/>
          <w:szCs w:val="24"/>
        </w:rPr>
        <w:t xml:space="preserve"> </w:t>
      </w:r>
    </w:p>
    <w:p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</w:rPr>
        <w:t>专业名称：</w:t>
      </w:r>
      <w:r>
        <w:rPr>
          <w:rFonts w:hint="eastAsia" w:ascii="Arial" w:hAnsi="Arial" w:eastAsia="楷体_GB2312" w:cs="Times New Roman"/>
          <w:sz w:val="36"/>
          <w:szCs w:val="24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szCs w:val="24"/>
          <w:u w:val="single"/>
        </w:rPr>
        <w:t xml:space="preserve">                          </w:t>
      </w:r>
    </w:p>
    <w:p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</w:rPr>
        <w:t>专业代码：</w:t>
      </w:r>
      <w:r>
        <w:rPr>
          <w:rFonts w:hint="eastAsia" w:ascii="Arial" w:hAnsi="Arial" w:eastAsia="楷体_GB2312" w:cs="Times New Roman"/>
          <w:sz w:val="36"/>
          <w:szCs w:val="24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szCs w:val="24"/>
          <w:u w:val="single"/>
        </w:rPr>
        <w:t xml:space="preserve">                          </w:t>
      </w:r>
    </w:p>
    <w:p>
      <w:pPr>
        <w:spacing w:line="720" w:lineRule="exact"/>
        <w:ind w:firstLine="1439" w:firstLineChars="371"/>
        <w:rPr>
          <w:rFonts w:ascii="Arial" w:hAnsi="Arial" w:eastAsia="楷体_GB2312" w:cs="Times New Roman"/>
          <w:spacing w:val="14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pacing w:val="14"/>
          <w:sz w:val="36"/>
          <w:szCs w:val="24"/>
        </w:rPr>
        <w:t>专业类：</w:t>
      </w:r>
      <w:r>
        <w:rPr>
          <w:rFonts w:hint="eastAsia" w:ascii="Arial" w:hAnsi="Arial" w:eastAsia="楷体_GB2312" w:cs="Times New Roman"/>
          <w:spacing w:val="14"/>
          <w:sz w:val="36"/>
          <w:szCs w:val="24"/>
          <w:u w:val="single"/>
        </w:rPr>
        <w:t xml:space="preserve"> </w:t>
      </w:r>
      <w:r>
        <w:rPr>
          <w:rFonts w:hint="eastAsia" w:ascii="Arial" w:hAnsi="Arial" w:eastAsia="楷体_GB2312" w:cs="Times New Roman"/>
          <w:spacing w:val="14"/>
          <w:sz w:val="36"/>
          <w:szCs w:val="24"/>
          <w:u w:val="single"/>
          <w:lang w:val="en-US" w:eastAsia="zh-CN"/>
        </w:rPr>
        <w:t xml:space="preserve">      </w:t>
      </w:r>
      <w:r>
        <w:rPr>
          <w:rFonts w:ascii="Arial" w:hAnsi="Arial" w:eastAsia="楷体_GB2312" w:cs="Times New Roman"/>
          <w:spacing w:val="14"/>
          <w:sz w:val="36"/>
          <w:szCs w:val="24"/>
          <w:u w:val="single"/>
        </w:rPr>
        <w:t xml:space="preserve">                  </w:t>
      </w:r>
    </w:p>
    <w:p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</w:rPr>
        <w:t>专业负责人：</w:t>
      </w:r>
      <w:r>
        <w:rPr>
          <w:rFonts w:hint="eastAsia" w:ascii="Arial" w:hAnsi="Arial" w:eastAsia="楷体_GB2312" w:cs="Times New Roman"/>
          <w:sz w:val="36"/>
          <w:szCs w:val="24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szCs w:val="24"/>
          <w:u w:val="single"/>
        </w:rPr>
        <w:t xml:space="preserve">                        </w:t>
      </w:r>
    </w:p>
    <w:p>
      <w:pPr>
        <w:spacing w:line="720" w:lineRule="exact"/>
        <w:ind w:firstLine="1440" w:firstLineChars="400"/>
        <w:rPr>
          <w:rFonts w:ascii="Arial" w:hAnsi="Arial" w:eastAsia="楷体_GB2312" w:cs="Times New Roman"/>
          <w:sz w:val="36"/>
          <w:szCs w:val="24"/>
          <w:u w:val="single"/>
        </w:rPr>
      </w:pPr>
      <w:r>
        <w:rPr>
          <w:rFonts w:hint="eastAsia" w:ascii="Arial" w:hAnsi="Arial" w:eastAsia="楷体_GB2312" w:cs="Times New Roman"/>
          <w:sz w:val="36"/>
          <w:szCs w:val="24"/>
        </w:rPr>
        <w:t>联系电话：</w:t>
      </w:r>
      <w:r>
        <w:rPr>
          <w:rFonts w:hint="eastAsia" w:ascii="Arial" w:hAnsi="Arial" w:eastAsia="楷体_GB2312" w:cs="Times New Roman"/>
          <w:sz w:val="36"/>
          <w:szCs w:val="24"/>
          <w:u w:val="single"/>
        </w:rPr>
        <w:t xml:space="preserve"> </w:t>
      </w:r>
      <w:r>
        <w:rPr>
          <w:rFonts w:ascii="Arial" w:hAnsi="Arial" w:eastAsia="楷体_GB2312" w:cs="Times New Roman"/>
          <w:sz w:val="36"/>
          <w:szCs w:val="24"/>
          <w:u w:val="single"/>
        </w:rPr>
        <w:t xml:space="preserve">                          </w:t>
      </w:r>
    </w:p>
    <w:p>
      <w:pPr>
        <w:spacing w:line="720" w:lineRule="exact"/>
        <w:ind w:firstLine="1760" w:firstLineChars="400"/>
        <w:rPr>
          <w:rFonts w:ascii="Arial" w:hAnsi="Arial" w:eastAsia="楷体_GB2312" w:cs="Times New Roman"/>
          <w:sz w:val="4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Arial" w:hAnsi="Arial" w:eastAsia="楷体_GB2312" w:cs="Times New Roman"/>
          <w:sz w:val="36"/>
          <w:szCs w:val="24"/>
        </w:rPr>
      </w:pPr>
      <w:r>
        <w:rPr>
          <w:rFonts w:hint="eastAsia" w:ascii="Arial" w:hAnsi="Arial" w:eastAsia="楷体_GB2312" w:cs="Times New Roman"/>
          <w:sz w:val="36"/>
          <w:szCs w:val="24"/>
          <w:lang w:eastAsia="zh-CN"/>
        </w:rPr>
        <w:t>福建省教育厅</w:t>
      </w:r>
      <w:r>
        <w:rPr>
          <w:rFonts w:hint="eastAsia" w:ascii="Arial" w:hAnsi="Arial" w:eastAsia="楷体_GB2312" w:cs="Times New Roman"/>
          <w:sz w:val="36"/>
          <w:szCs w:val="24"/>
          <w:lang w:val="en-US" w:eastAsia="zh-CN"/>
        </w:rPr>
        <w:t xml:space="preserve"> </w:t>
      </w:r>
      <w:r>
        <w:rPr>
          <w:rFonts w:hint="eastAsia" w:ascii="Arial" w:hAnsi="Arial" w:eastAsia="楷体_GB2312" w:cs="Times New Roman"/>
          <w:sz w:val="36"/>
          <w:szCs w:val="24"/>
        </w:rPr>
        <w:t>制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2019年6月</w:t>
      </w:r>
    </w:p>
    <w:p>
      <w:pPr>
        <w:jc w:val="center"/>
        <w:rPr>
          <w:rFonts w:ascii="Arial" w:hAnsi="Arial" w:eastAsia="楷体_GB2312" w:cs="Times New Roman"/>
          <w:sz w:val="36"/>
          <w:szCs w:val="24"/>
        </w:rPr>
      </w:pPr>
      <w:r>
        <w:rPr>
          <w:rFonts w:ascii="Arial" w:hAnsi="Arial" w:eastAsia="楷体_GB2312" w:cs="Times New Roman"/>
          <w:sz w:val="36"/>
          <w:szCs w:val="24"/>
        </w:rPr>
        <w:br w:type="page"/>
      </w:r>
    </w:p>
    <w:p>
      <w:pPr>
        <w:jc w:val="center"/>
        <w:rPr>
          <w:rFonts w:ascii="黑体" w:hAnsi="Arial" w:eastAsia="黑体" w:cs="Times New Roman"/>
          <w:bCs/>
          <w:spacing w:val="100"/>
          <w:sz w:val="36"/>
          <w:szCs w:val="36"/>
        </w:rPr>
      </w:pPr>
      <w:r>
        <w:rPr>
          <w:rFonts w:hint="eastAsia" w:ascii="黑体" w:hAnsi="Arial" w:eastAsia="黑体" w:cs="Times New Roman"/>
          <w:bCs/>
          <w:spacing w:val="100"/>
          <w:sz w:val="36"/>
          <w:szCs w:val="36"/>
        </w:rPr>
        <w:t>填表说明</w:t>
      </w:r>
    </w:p>
    <w:p>
      <w:pPr>
        <w:jc w:val="center"/>
        <w:rPr>
          <w:rFonts w:ascii="仿宋_GB2312" w:hAnsi="Arial" w:eastAsia="仿宋_GB2312" w:cs="Times New Roman"/>
          <w:spacing w:val="100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采集表填写内容必须实事求是，表达准确严谨。填报内容不得有空缺项，如无内容应填“无”。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“专业类”按国家级一流本科专业分专业类建设规划中的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92类专业类及代码填报。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.专业</w:t>
      </w:r>
      <w:r>
        <w:rPr>
          <w:rFonts w:ascii="仿宋" w:hAnsi="仿宋" w:eastAsia="仿宋" w:cs="Times New Roman"/>
          <w:sz w:val="32"/>
          <w:szCs w:val="32"/>
        </w:rPr>
        <w:t>人才培养方案作为附件提交。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rPr>
          <w:rFonts w:ascii="宋体" w:hAnsi="宋体" w:eastAsia="宋体" w:cs="宋体"/>
          <w:sz w:val="30"/>
          <w:szCs w:val="30"/>
        </w:rPr>
      </w:pPr>
    </w:p>
    <w:p>
      <w:pPr>
        <w:spacing w:line="440" w:lineRule="exact"/>
        <w:rPr>
          <w:rFonts w:ascii="Arial" w:hAnsi="Arial" w:eastAsia="楷体_GB2312" w:cs="Times New Roman"/>
          <w:sz w:val="36"/>
          <w:szCs w:val="24"/>
        </w:rPr>
      </w:pPr>
      <w:r>
        <w:rPr>
          <w:rFonts w:ascii="宋体" w:hAnsi="宋体" w:eastAsia="宋体" w:cs="宋体"/>
          <w:sz w:val="30"/>
          <w:szCs w:val="30"/>
        </w:rPr>
        <w:br w:type="page"/>
      </w:r>
    </w:p>
    <w:p>
      <w:pPr>
        <w:spacing w:line="440" w:lineRule="exact"/>
        <w:jc w:val="center"/>
        <w:rPr>
          <w:rFonts w:ascii="黑体" w:hAnsi="Times New Roman" w:eastAsia="黑体" w:cs="Times New Roman"/>
          <w:bCs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Times New Roman" w:eastAsia="方正小标宋简体" w:cs="Times New Roman"/>
          <w:bCs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Cs/>
          <w:sz w:val="36"/>
          <w:szCs w:val="36"/>
        </w:rPr>
        <w:t>目    录</w:t>
      </w:r>
    </w:p>
    <w:p>
      <w:pPr>
        <w:spacing w:line="360" w:lineRule="auto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一</w:t>
      </w:r>
      <w:r>
        <w:rPr>
          <w:rFonts w:hint="eastAsia" w:ascii="仿宋_GB2312" w:hAnsi="仿宋" w:eastAsia="仿宋_GB2312" w:cs="Times New Roman"/>
          <w:sz w:val="32"/>
          <w:szCs w:val="32"/>
        </w:rPr>
        <w:t>、</w:t>
      </w:r>
      <w:r>
        <w:rPr>
          <w:rFonts w:ascii="仿宋_GB2312" w:hAnsi="仿宋" w:eastAsia="仿宋_GB2312" w:cs="Times New Roman"/>
          <w:sz w:val="32"/>
          <w:szCs w:val="32"/>
        </w:rPr>
        <w:t>高校基本情况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二</w:t>
      </w:r>
      <w:r>
        <w:rPr>
          <w:rFonts w:hint="eastAsia" w:ascii="仿宋_GB2312" w:hAnsi="仿宋" w:eastAsia="仿宋_GB2312" w:cs="Times New Roman"/>
          <w:sz w:val="32"/>
          <w:szCs w:val="32"/>
        </w:rPr>
        <w:t>、</w:t>
      </w:r>
      <w:r>
        <w:rPr>
          <w:rFonts w:ascii="仿宋_GB2312" w:hAnsi="仿宋" w:eastAsia="仿宋_GB2312" w:cs="Times New Roman"/>
          <w:sz w:val="32"/>
          <w:szCs w:val="32"/>
        </w:rPr>
        <w:t>报送专业情况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1.专业基本情况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pacing w:val="2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bCs/>
          <w:sz w:val="32"/>
          <w:szCs w:val="32"/>
        </w:rPr>
        <w:t>.专业负责人基本情况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3.近3年本专业毕业生就业（升学）情况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4.近3年本专业获省部级及以上奖励和支持情况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5.专业定位、历史沿革和特色优势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6.深化专业综合改革的主要措施和成效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kern w:val="0"/>
          <w:sz w:val="32"/>
          <w:szCs w:val="32"/>
        </w:rPr>
        <w:t>7.加强师资队伍和基层教学组织建设的主要举措</w:t>
      </w:r>
      <w:r>
        <w:rPr>
          <w:rFonts w:ascii="仿宋_GB2312" w:hAnsi="仿宋" w:eastAsia="仿宋_GB2312" w:cs="Times New Roman"/>
          <w:bCs/>
          <w:kern w:val="0"/>
          <w:sz w:val="32"/>
          <w:szCs w:val="32"/>
        </w:rPr>
        <w:t>及</w:t>
      </w:r>
      <w:r>
        <w:rPr>
          <w:rFonts w:hint="eastAsia" w:ascii="仿宋_GB2312" w:hAnsi="仿宋" w:eastAsia="仿宋_GB2312" w:cs="Times New Roman"/>
          <w:bCs/>
          <w:kern w:val="0"/>
          <w:sz w:val="32"/>
          <w:szCs w:val="32"/>
        </w:rPr>
        <w:t>成效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kern w:val="0"/>
          <w:sz w:val="32"/>
          <w:szCs w:val="32"/>
        </w:rPr>
        <w:t>8.加强专业教学质量保障体系建设的主要举措和成效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9.毕业生培养质量的跟踪调查结果和外部评价</w:t>
      </w:r>
    </w:p>
    <w:p>
      <w:pPr>
        <w:spacing w:line="360" w:lineRule="auto"/>
        <w:ind w:firstLine="640" w:firstLineChars="200"/>
        <w:rPr>
          <w:rFonts w:ascii="仿宋_GB2312" w:hAnsi="仿宋" w:eastAsia="仿宋_GB2312" w:cs="Times New Roman"/>
          <w:bCs/>
          <w:sz w:val="32"/>
          <w:szCs w:val="32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</w:rPr>
        <w:t>三、下一步推进专业建设和改革的主要思路及举措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bCs/>
          <w:sz w:val="36"/>
          <w:szCs w:val="36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一、高校基本情况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08"/>
        <w:gridCol w:w="423"/>
        <w:gridCol w:w="3604"/>
        <w:gridCol w:w="375"/>
        <w:gridCol w:w="115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学校名称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学校代码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restart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学校办学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基本类型</w:t>
            </w:r>
          </w:p>
        </w:tc>
        <w:tc>
          <w:tcPr>
            <w:tcW w:w="6386" w:type="dxa"/>
            <w:gridSpan w:val="6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□部委院校  □地方院校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部省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合建高校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Merge w:val="continue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386" w:type="dxa"/>
            <w:gridSpan w:val="6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□公办  □民办  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独立学院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在校本科生总数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近3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年年均本科招生数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专任教师总数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</w:t>
            </w:r>
          </w:p>
        </w:tc>
        <w:tc>
          <w:tcPr>
            <w:tcW w:w="40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专任教师中副教授及以上职称比例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3" w:type="dxa"/>
            <w:vAlign w:val="center"/>
          </w:tcPr>
          <w:p>
            <w:pPr>
              <w:ind w:left="-160" w:leftChars="-50" w:right="-160" w:rightChars="-5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生师比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09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具有硕博士学位教师占专任教师比例</w:t>
            </w:r>
          </w:p>
        </w:tc>
        <w:tc>
          <w:tcPr>
            <w:tcW w:w="1161" w:type="dxa"/>
            <w:vAlign w:val="center"/>
          </w:tcPr>
          <w:p>
            <w:pPr>
              <w:spacing w:line="360" w:lineRule="auto"/>
              <w:jc w:val="righ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73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推进高水平本科建设整体情况</w:t>
            </w:r>
          </w:p>
        </w:tc>
        <w:tc>
          <w:tcPr>
            <w:tcW w:w="6386" w:type="dxa"/>
            <w:gridSpan w:val="6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落实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“以本为本、四个回归”、推进“四新”建设、完善协同育人和实践教学机制、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培育以人才培养为中心的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质量文化等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1200字以内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97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学校关于本科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人才培养的重要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政策文件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10项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4402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文件名称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印发时间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4402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4402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97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Cs w:val="24"/>
              </w:rPr>
              <w:t>…</w:t>
            </w:r>
          </w:p>
        </w:tc>
        <w:tc>
          <w:tcPr>
            <w:tcW w:w="4402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ascii="黑体" w:hAnsi="黑体" w:eastAsia="黑体" w:cs="Times New Roman"/>
          <w:sz w:val="36"/>
          <w:szCs w:val="36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 w:cs="Times New Roman"/>
          <w:bCs/>
          <w:sz w:val="32"/>
          <w:szCs w:val="32"/>
        </w:rPr>
        <w:t>报送专业情况</w:t>
      </w:r>
    </w:p>
    <w:p>
      <w:pPr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1.专业基本情况</w:t>
      </w:r>
    </w:p>
    <w:tbl>
      <w:tblPr>
        <w:tblStyle w:val="3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735"/>
        <w:gridCol w:w="2453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专业名称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专业代码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修业年限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学位授予门类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设立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所在院系名称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专业性质</w:t>
            </w:r>
          </w:p>
        </w:tc>
        <w:tc>
          <w:tcPr>
            <w:tcW w:w="6129" w:type="dxa"/>
            <w:gridSpan w:val="3"/>
            <w:vAlign w:val="center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专业总学分</w:t>
            </w:r>
          </w:p>
        </w:tc>
        <w:tc>
          <w:tcPr>
            <w:tcW w:w="1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5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专业总学时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实践教学环节学分占总学分比例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本专业教授给本科生上课的比例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>注</w:t>
      </w:r>
      <w:r>
        <w:rPr>
          <w:rFonts w:hint="eastAsia" w:ascii="仿宋" w:hAnsi="仿宋" w:eastAsia="仿宋" w:cs="Times New Roman"/>
          <w:sz w:val="24"/>
          <w:szCs w:val="24"/>
        </w:rPr>
        <w:t>：以上数据填报口径为2</w:t>
      </w:r>
      <w:r>
        <w:rPr>
          <w:rFonts w:ascii="仿宋" w:hAnsi="仿宋" w:eastAsia="仿宋" w:cs="Times New Roman"/>
          <w:sz w:val="24"/>
          <w:szCs w:val="24"/>
        </w:rPr>
        <w:t>018</w:t>
      </w:r>
      <w:r>
        <w:rPr>
          <w:rFonts w:hint="eastAsia" w:ascii="仿宋" w:hAnsi="仿宋" w:eastAsia="仿宋" w:cs="Times New Roman"/>
          <w:sz w:val="24"/>
          <w:szCs w:val="24"/>
        </w:rPr>
        <w:t>-</w:t>
      </w:r>
      <w:r>
        <w:rPr>
          <w:rFonts w:ascii="仿宋" w:hAnsi="仿宋" w:eastAsia="仿宋" w:cs="Times New Roman"/>
          <w:sz w:val="24"/>
          <w:szCs w:val="24"/>
        </w:rPr>
        <w:t>2019学年数据</w: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2.专业负责人基本情况</w:t>
      </w:r>
    </w:p>
    <w:tbl>
      <w:tblPr>
        <w:tblStyle w:val="3"/>
        <w:tblW w:w="845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95"/>
        <w:gridCol w:w="1311"/>
        <w:gridCol w:w="727"/>
        <w:gridCol w:w="1747"/>
        <w:gridCol w:w="727"/>
        <w:gridCol w:w="806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专业技术职务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行政职务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3" w:hRule="atLeast"/>
          <w:jc w:val="center"/>
        </w:trPr>
        <w:tc>
          <w:tcPr>
            <w:tcW w:w="232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研究方向和近三年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主讲的本科课程</w:t>
            </w:r>
          </w:p>
        </w:tc>
        <w:tc>
          <w:tcPr>
            <w:tcW w:w="6122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3.近</w:t>
      </w:r>
      <w:r>
        <w:rPr>
          <w:rFonts w:ascii="楷体" w:hAnsi="楷体" w:eastAsia="楷体" w:cs="宋体"/>
          <w:b/>
          <w:kern w:val="0"/>
          <w:sz w:val="32"/>
          <w:szCs w:val="32"/>
        </w:rPr>
        <w:t>3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年本专业毕业生就业（升学）情况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319"/>
        <w:gridCol w:w="1583"/>
        <w:gridCol w:w="1583"/>
        <w:gridCol w:w="1319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年份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毕业生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境内升学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境外升学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就业人数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自主创业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2018年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2017年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2016年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4.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近</w:t>
      </w:r>
      <w:r>
        <w:rPr>
          <w:rFonts w:ascii="楷体" w:hAnsi="楷体" w:eastAsia="楷体" w:cs="宋体"/>
          <w:b/>
          <w:kern w:val="0"/>
          <w:sz w:val="32"/>
          <w:szCs w:val="32"/>
        </w:rPr>
        <w:t>3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年本专业</w:t>
      </w:r>
      <w:r>
        <w:rPr>
          <w:rFonts w:hint="eastAsia" w:ascii="楷体" w:hAnsi="楷体" w:eastAsia="楷体" w:cs="Times New Roman"/>
          <w:b/>
          <w:sz w:val="32"/>
          <w:szCs w:val="32"/>
        </w:rPr>
        <w:t>获省部级及以上奖励和支持情况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827"/>
        <w:gridCol w:w="1207"/>
        <w:gridCol w:w="1723"/>
        <w:gridCol w:w="850"/>
        <w:gridCol w:w="78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类别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所获奖励或支持名称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等级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教学成果奖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教学名师与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教学团队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专业建设</w:t>
            </w:r>
          </w:p>
        </w:tc>
        <w:tc>
          <w:tcPr>
            <w:tcW w:w="827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课程与教材</w:t>
            </w:r>
          </w:p>
        </w:tc>
        <w:tc>
          <w:tcPr>
            <w:tcW w:w="82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before="62" w:beforeLines="20" w:after="62" w:afterLines="2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before="62" w:beforeLines="20" w:after="62" w:afterLines="2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实验和实践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教学平台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教学改革项目</w:t>
            </w:r>
          </w:p>
        </w:tc>
        <w:tc>
          <w:tcPr>
            <w:tcW w:w="827" w:type="dxa"/>
            <w:vAlign w:val="top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top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restart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其他</w:t>
            </w:r>
          </w:p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（限5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项）</w:t>
            </w:r>
          </w:p>
        </w:tc>
        <w:tc>
          <w:tcPr>
            <w:tcW w:w="82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continue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7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25" w:type="dxa"/>
            <w:vMerge w:val="continue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…</w:t>
            </w:r>
          </w:p>
        </w:tc>
        <w:tc>
          <w:tcPr>
            <w:tcW w:w="1207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before="93" w:beforeLines="30" w:after="93" w:afterLines="3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1013"/>
        </w:tabs>
        <w:ind w:right="-301" w:rightChars="-94"/>
        <w:jc w:val="left"/>
        <w:rPr>
          <w:rFonts w:ascii="Times New Roman" w:hAnsi="Times New Roman" w:eastAsia="宋体" w:cs="Times New Roman"/>
          <w:szCs w:val="24"/>
        </w:rPr>
      </w:pPr>
    </w:p>
    <w:p>
      <w:pPr>
        <w:widowControl/>
        <w:tabs>
          <w:tab w:val="left" w:pos="1013"/>
        </w:tabs>
        <w:ind w:right="-301" w:rightChars="-94" w:firstLine="562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填表说明：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1.“国家级”指中央机关、部委及教育部所属教指委、学位委、教育科学规划办等授予的全国性教育教学项目或奖励；“省级”指由省级机关（教育部门独立或参与）授予的全省性教育教学类项目或奖励。</w:t>
      </w:r>
    </w:p>
    <w:p>
      <w:pPr>
        <w:widowControl/>
        <w:numPr>
          <w:ilvl w:val="0"/>
          <w:numId w:val="2"/>
        </w:numPr>
        <w:tabs>
          <w:tab w:val="left" w:pos="1013"/>
        </w:tabs>
        <w:ind w:right="-301" w:rightChars="-94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专业建设指本专业获得省部级专业、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平台、课程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教材、教改、教学成果</w:t>
      </w:r>
      <w:r>
        <w:rPr>
          <w:rFonts w:hint="eastAsia" w:ascii="仿宋_GB2312" w:hAnsi="仿宋_GB2312" w:eastAsia="仿宋_GB2312" w:cs="仿宋_GB2312"/>
          <w:sz w:val="28"/>
          <w:szCs w:val="28"/>
        </w:rPr>
        <w:t>等建设项目支持情况。</w:t>
      </w:r>
    </w:p>
    <w:p>
      <w:pPr>
        <w:widowControl/>
        <w:numPr>
          <w:ilvl w:val="0"/>
          <w:numId w:val="0"/>
        </w:numPr>
        <w:tabs>
          <w:tab w:val="left" w:pos="1013"/>
        </w:tabs>
        <w:ind w:right="-301" w:rightChars="-94"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.其他指本专业教师和学生获得的省部级及以上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与专业建设相关的荣誉、</w:t>
      </w:r>
      <w:r>
        <w:rPr>
          <w:rFonts w:hint="eastAsia" w:ascii="仿宋_GB2312" w:hAnsi="仿宋_GB2312" w:eastAsia="仿宋_GB2312" w:cs="仿宋_GB2312"/>
          <w:sz w:val="28"/>
          <w:szCs w:val="28"/>
        </w:rPr>
        <w:t>奖励。</w:t>
      </w:r>
    </w:p>
    <w:p>
      <w:pPr>
        <w:widowControl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5</w:t>
      </w:r>
      <w:r>
        <w:rPr>
          <w:rFonts w:ascii="楷体" w:hAnsi="楷体" w:eastAsia="楷体" w:cs="宋体"/>
          <w:b/>
          <w:kern w:val="0"/>
          <w:sz w:val="32"/>
          <w:szCs w:val="32"/>
        </w:rPr>
        <w:t>.专业定位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、</w:t>
      </w:r>
      <w:r>
        <w:rPr>
          <w:rFonts w:ascii="楷体" w:hAnsi="楷体" w:eastAsia="楷体" w:cs="宋体"/>
          <w:b/>
          <w:kern w:val="0"/>
          <w:sz w:val="32"/>
          <w:szCs w:val="32"/>
        </w:rPr>
        <w:t>历史沿革和特色优势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296" w:type="dxa"/>
            <w:vAlign w:val="top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（限</w:t>
            </w:r>
            <w:r>
              <w:rPr>
                <w:rFonts w:ascii="仿宋" w:hAnsi="仿宋" w:eastAsia="仿宋" w:cs="Times New Roman"/>
                <w:bCs/>
                <w:szCs w:val="21"/>
              </w:rPr>
              <w:t>500字以内</w:t>
            </w:r>
            <w:r>
              <w:rPr>
                <w:rFonts w:hint="eastAsia" w:ascii="仿宋" w:hAnsi="仿宋" w:eastAsia="仿宋" w:cs="Times New Roman"/>
                <w:bCs/>
                <w:szCs w:val="21"/>
              </w:rPr>
              <w:t>）</w:t>
            </w:r>
          </w:p>
        </w:tc>
      </w:tr>
    </w:tbl>
    <w:p>
      <w:pPr>
        <w:widowControl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6</w:t>
      </w:r>
      <w:r>
        <w:rPr>
          <w:rFonts w:ascii="楷体" w:hAnsi="楷体" w:eastAsia="楷体" w:cs="宋体"/>
          <w:b/>
          <w:kern w:val="0"/>
          <w:sz w:val="32"/>
          <w:szCs w:val="32"/>
        </w:rPr>
        <w:t>.深化专业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综合</w:t>
      </w:r>
      <w:r>
        <w:rPr>
          <w:rFonts w:ascii="楷体" w:hAnsi="楷体" w:eastAsia="楷体" w:cs="宋体"/>
          <w:b/>
          <w:kern w:val="0"/>
          <w:sz w:val="32"/>
          <w:szCs w:val="32"/>
        </w:rPr>
        <w:t>改革的主要</w:t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举措和成效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296" w:type="dxa"/>
            <w:vAlign w:val="top"/>
          </w:tcPr>
          <w:p>
            <w:pPr>
              <w:spacing w:line="0" w:lineRule="atLeast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（限</w:t>
            </w:r>
            <w:r>
              <w:rPr>
                <w:rFonts w:ascii="仿宋" w:hAnsi="仿宋" w:eastAsia="仿宋" w:cs="Times New Roman"/>
                <w:bCs/>
                <w:szCs w:val="21"/>
              </w:rPr>
              <w:t>1000字以内</w:t>
            </w:r>
            <w:r>
              <w:rPr>
                <w:rFonts w:hint="eastAsia" w:ascii="仿宋" w:hAnsi="仿宋" w:eastAsia="仿宋" w:cs="Times New Roman"/>
                <w:bCs/>
                <w:szCs w:val="21"/>
              </w:rPr>
              <w:t>）</w:t>
            </w:r>
          </w:p>
        </w:tc>
      </w:tr>
    </w:tbl>
    <w:p>
      <w:pPr>
        <w:widowControl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br w:type="page"/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7</w:t>
      </w:r>
      <w:r>
        <w:rPr>
          <w:rFonts w:ascii="楷体" w:hAnsi="楷体" w:eastAsia="楷体" w:cs="宋体"/>
          <w:b/>
          <w:kern w:val="0"/>
          <w:sz w:val="32"/>
          <w:szCs w:val="32"/>
        </w:rPr>
        <w:t>.加强师资队伍和基层教学组织建设的主要举措及成效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522" w:type="dxa"/>
            <w:vAlign w:val="top"/>
          </w:tcPr>
          <w:p>
            <w:pPr>
              <w:spacing w:line="0" w:lineRule="atLeast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（限</w:t>
            </w:r>
            <w:r>
              <w:rPr>
                <w:rFonts w:ascii="仿宋" w:hAnsi="仿宋" w:eastAsia="仿宋" w:cs="Times New Roman"/>
                <w:bCs/>
                <w:szCs w:val="21"/>
              </w:rPr>
              <w:t>500字以内</w:t>
            </w:r>
            <w:r>
              <w:rPr>
                <w:rFonts w:hint="eastAsia" w:ascii="仿宋" w:hAnsi="仿宋" w:eastAsia="仿宋" w:cs="Times New Roman"/>
                <w:bCs/>
                <w:szCs w:val="21"/>
              </w:rPr>
              <w:t>）</w:t>
            </w:r>
          </w:p>
        </w:tc>
      </w:tr>
    </w:tbl>
    <w:p>
      <w:pPr>
        <w:rPr>
          <w:rFonts w:ascii="楷体" w:hAnsi="楷体" w:eastAsia="楷体" w:cs="宋体"/>
          <w:b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8.加强专业教学质量保障体系建设的主要举措和成效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522" w:type="dxa"/>
            <w:vAlign w:val="top"/>
          </w:tcPr>
          <w:p>
            <w:pPr>
              <w:spacing w:line="0" w:lineRule="atLeast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（限</w:t>
            </w:r>
            <w:r>
              <w:rPr>
                <w:rFonts w:ascii="仿宋" w:hAnsi="仿宋" w:eastAsia="仿宋" w:cs="Times New Roman"/>
                <w:bCs/>
                <w:szCs w:val="21"/>
              </w:rPr>
              <w:t>500字以内</w:t>
            </w:r>
            <w:r>
              <w:rPr>
                <w:rFonts w:hint="eastAsia" w:ascii="仿宋" w:hAnsi="仿宋" w:eastAsia="仿宋" w:cs="Times New Roman"/>
                <w:bCs/>
                <w:szCs w:val="21"/>
              </w:rPr>
              <w:t>）</w:t>
            </w:r>
          </w:p>
        </w:tc>
      </w:tr>
    </w:tbl>
    <w:p>
      <w:pPr>
        <w:rPr>
          <w:rFonts w:ascii="黑体" w:hAnsi="黑体" w:eastAsia="黑体" w:cs="Times New Roman"/>
          <w:sz w:val="36"/>
          <w:szCs w:val="36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br w:type="page"/>
      </w:r>
      <w:r>
        <w:rPr>
          <w:rFonts w:hint="eastAsia" w:ascii="楷体" w:hAnsi="楷体" w:eastAsia="楷体" w:cs="宋体"/>
          <w:b/>
          <w:kern w:val="0"/>
          <w:sz w:val="32"/>
          <w:szCs w:val="32"/>
        </w:rPr>
        <w:t>9</w:t>
      </w:r>
      <w:r>
        <w:rPr>
          <w:rFonts w:ascii="楷体" w:hAnsi="楷体" w:eastAsia="楷体" w:cs="宋体"/>
          <w:b/>
          <w:kern w:val="0"/>
          <w:sz w:val="32"/>
          <w:szCs w:val="32"/>
        </w:rPr>
        <w:t>.毕业生培养质量的跟踪调查结果和外部评价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6" w:hRule="atLeast"/>
        </w:trPr>
        <w:tc>
          <w:tcPr>
            <w:tcW w:w="8522" w:type="dxa"/>
            <w:vAlign w:val="top"/>
          </w:tcPr>
          <w:p>
            <w:pPr>
              <w:spacing w:line="0" w:lineRule="atLeast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仿宋" w:hAnsi="仿宋" w:eastAsia="仿宋" w:cs="Times New Roman"/>
                <w:bCs/>
                <w:szCs w:val="21"/>
              </w:rPr>
              <w:t>（限</w:t>
            </w:r>
            <w:r>
              <w:rPr>
                <w:rFonts w:ascii="仿宋" w:hAnsi="仿宋" w:eastAsia="仿宋" w:cs="Times New Roman"/>
                <w:bCs/>
                <w:szCs w:val="21"/>
              </w:rPr>
              <w:t>500字以内</w:t>
            </w:r>
            <w:r>
              <w:rPr>
                <w:rFonts w:hint="eastAsia" w:ascii="仿宋" w:hAnsi="仿宋" w:eastAsia="仿宋" w:cs="Times New Roman"/>
                <w:bCs/>
                <w:szCs w:val="21"/>
              </w:rPr>
              <w:t>）</w:t>
            </w:r>
          </w:p>
        </w:tc>
      </w:tr>
    </w:tbl>
    <w:p>
      <w:pPr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三、</w:t>
      </w:r>
      <w:r>
        <w:rPr>
          <w:rFonts w:ascii="黑体" w:hAnsi="黑体" w:eastAsia="黑体" w:cs="宋体"/>
          <w:b/>
          <w:kern w:val="0"/>
          <w:sz w:val="32"/>
          <w:szCs w:val="32"/>
        </w:rPr>
        <w:t>下一步推进专业建设和改革的主要思路</w:t>
      </w:r>
      <w:r>
        <w:rPr>
          <w:rFonts w:hint="eastAsia" w:ascii="黑体" w:hAnsi="黑体" w:eastAsia="黑体" w:cs="宋体"/>
          <w:b/>
          <w:kern w:val="0"/>
          <w:sz w:val="32"/>
          <w:szCs w:val="32"/>
        </w:rPr>
        <w:t>及</w:t>
      </w:r>
      <w:r>
        <w:rPr>
          <w:rFonts w:ascii="黑体" w:hAnsi="黑体" w:eastAsia="黑体" w:cs="宋体"/>
          <w:b/>
          <w:kern w:val="0"/>
          <w:sz w:val="32"/>
          <w:szCs w:val="32"/>
        </w:rPr>
        <w:t>举措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9" w:hRule="atLeast"/>
        </w:trPr>
        <w:tc>
          <w:tcPr>
            <w:tcW w:w="8522" w:type="dxa"/>
            <w:vAlign w:val="top"/>
          </w:tcPr>
          <w:p>
            <w:pPr>
              <w:spacing w:line="0" w:lineRule="atLeast"/>
              <w:jc w:val="left"/>
              <w:rPr>
                <w:rFonts w:ascii="方正小标宋_GBK" w:hAnsi="Times New Roman" w:eastAsia="仿宋_GB2312" w:cs="Times New Roman"/>
                <w:b/>
                <w:bCs/>
                <w:szCs w:val="21"/>
              </w:rPr>
            </w:pPr>
            <w:bookmarkStart w:id="0" w:name="_Hlk2001382"/>
            <w:r>
              <w:rPr>
                <w:rFonts w:hint="eastAsia" w:ascii="仿宋" w:hAnsi="仿宋" w:eastAsia="仿宋" w:cs="Times New Roman"/>
                <w:bCs/>
                <w:szCs w:val="21"/>
              </w:rPr>
              <w:t>（限</w:t>
            </w:r>
            <w:r>
              <w:rPr>
                <w:rFonts w:ascii="仿宋" w:hAnsi="仿宋" w:eastAsia="仿宋" w:cs="Times New Roman"/>
                <w:bCs/>
                <w:szCs w:val="21"/>
              </w:rPr>
              <w:t>800字以内</w:t>
            </w:r>
            <w:r>
              <w:rPr>
                <w:rFonts w:hint="eastAsia" w:ascii="仿宋" w:hAnsi="仿宋" w:eastAsia="仿宋" w:cs="Times New Roman"/>
                <w:bCs/>
                <w:szCs w:val="21"/>
              </w:rPr>
              <w:t>）</w:t>
            </w:r>
          </w:p>
        </w:tc>
      </w:tr>
      <w:bookmarkEnd w:id="0"/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F417B"/>
    <w:multiLevelType w:val="singleLevel"/>
    <w:tmpl w:val="5CEF417B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D083285"/>
    <w:multiLevelType w:val="singleLevel"/>
    <w:tmpl w:val="5D083285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926B0"/>
    <w:rsid w:val="64D94C85"/>
    <w:rsid w:val="7949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2019-06-18T08:28:00Z</dcterms:created>
  <dc:creator>樱雨</dc:creator>
  <cp:lastModifiedBy>樱雨</cp:lastModifiedBy>
  <cp:lastPrinted>2019-06-19T00:18:42Z</cp:lastPrinted>
  <dcterms:modified xsi:type="dcterms:W3CDTF">2019-06-19T00:53:41Z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