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22" w:rsidRDefault="00D33022" w:rsidP="00D33022">
      <w:pPr>
        <w:pStyle w:val="3"/>
        <w:spacing w:line="330" w:lineRule="atLeast"/>
        <w:rPr>
          <w:rFonts w:ascii="微软雅黑" w:eastAsia="微软雅黑" w:hAnsi="微软雅黑" w:hint="eastAsia"/>
          <w:color w:val="333333"/>
        </w:rPr>
      </w:pPr>
      <w:r>
        <w:rPr>
          <w:rFonts w:ascii="微软雅黑" w:eastAsia="微软雅黑" w:hAnsi="微软雅黑" w:hint="eastAsia"/>
          <w:color w:val="333333"/>
        </w:rPr>
        <w:t xml:space="preserve">福建省发展和改革委员会关于印发《福建省工程研究中心和工程实验室管理暂行办法》的通知 </w:t>
      </w:r>
    </w:p>
    <w:p w:rsidR="00D33022" w:rsidRDefault="00D33022" w:rsidP="00D33022">
      <w:pPr>
        <w:pStyle w:val="4"/>
        <w:spacing w:line="330" w:lineRule="atLeast"/>
        <w:rPr>
          <w:rFonts w:ascii="微软雅黑" w:eastAsia="微软雅黑" w:hAnsi="微软雅黑" w:hint="eastAsia"/>
          <w:color w:val="333333"/>
        </w:rPr>
      </w:pPr>
      <w:r>
        <w:rPr>
          <w:rFonts w:ascii="微软雅黑" w:eastAsia="微软雅黑" w:hAnsi="微软雅黑" w:hint="eastAsia"/>
          <w:color w:val="333333"/>
        </w:rPr>
        <w:t xml:space="preserve">闽发改高技〔2017〕167号 </w:t>
      </w:r>
    </w:p>
    <w:p w:rsidR="00D33022" w:rsidRDefault="00D33022" w:rsidP="00D33022">
      <w:pPr>
        <w:pStyle w:val="a5"/>
        <w:spacing w:line="480" w:lineRule="atLeast"/>
        <w:jc w:val="both"/>
        <w:rPr>
          <w:rFonts w:hint="eastAsia"/>
          <w:color w:val="333333"/>
        </w:rPr>
      </w:pPr>
      <w:r>
        <w:rPr>
          <w:rFonts w:hint="eastAsia"/>
          <w:color w:val="333333"/>
        </w:rPr>
        <w:t>各设区市发展改革委、平潭综合实验区经济发展局，省直有关部门，相关高等院校、科研单位：</w:t>
      </w:r>
    </w:p>
    <w:p w:rsidR="00D33022" w:rsidRDefault="00D33022" w:rsidP="00D33022">
      <w:pPr>
        <w:pStyle w:val="a5"/>
        <w:spacing w:line="480" w:lineRule="atLeast"/>
        <w:jc w:val="both"/>
        <w:rPr>
          <w:rFonts w:hint="eastAsia"/>
          <w:color w:val="333333"/>
        </w:rPr>
      </w:pPr>
      <w:r>
        <w:rPr>
          <w:rFonts w:hint="eastAsia"/>
          <w:color w:val="333333"/>
        </w:rPr>
        <w:t xml:space="preserve">　　为增强自主创新能力，加快建设创新型省份，进一步规范福建省工程研究中心、工程实验室(含国家地方联合工程研究中心、工程实验室)的申报、批复、评价、撤销和资金补助等管理行为，参照《国家工程研究中心管理办法》、《国家工程实验室管理办法》，结合我省实际，我委组织修订了《福建省工程研究中心和工程实验室管理暂行办法》。现印发给你们，请遵照执行。</w:t>
      </w:r>
    </w:p>
    <w:p w:rsidR="00D33022" w:rsidRDefault="00D33022" w:rsidP="00D33022">
      <w:pPr>
        <w:pStyle w:val="a5"/>
        <w:spacing w:line="480" w:lineRule="atLeast"/>
        <w:jc w:val="right"/>
        <w:rPr>
          <w:rFonts w:hint="eastAsia"/>
          <w:color w:val="333333"/>
        </w:rPr>
      </w:pPr>
      <w:r>
        <w:rPr>
          <w:rFonts w:hint="eastAsia"/>
          <w:color w:val="333333"/>
        </w:rPr>
        <w:t xml:space="preserve">　　福建省发展和改革委员会</w:t>
      </w:r>
    </w:p>
    <w:p w:rsidR="00D33022" w:rsidRDefault="00D33022" w:rsidP="00D33022">
      <w:pPr>
        <w:pStyle w:val="a5"/>
        <w:spacing w:line="480" w:lineRule="atLeast"/>
        <w:jc w:val="right"/>
        <w:rPr>
          <w:rFonts w:hint="eastAsia"/>
          <w:color w:val="333333"/>
        </w:rPr>
      </w:pPr>
      <w:r>
        <w:rPr>
          <w:rFonts w:hint="eastAsia"/>
          <w:color w:val="333333"/>
        </w:rPr>
        <w:t xml:space="preserve">　　2017年3月18日</w:t>
      </w:r>
    </w:p>
    <w:p w:rsidR="00D33022" w:rsidRDefault="00D33022" w:rsidP="00D33022">
      <w:pPr>
        <w:pStyle w:val="a5"/>
        <w:spacing w:line="480" w:lineRule="atLeast"/>
        <w:jc w:val="both"/>
        <w:rPr>
          <w:rFonts w:hint="eastAsia"/>
          <w:color w:val="333333"/>
        </w:rPr>
      </w:pPr>
      <w:r>
        <w:rPr>
          <w:rFonts w:hint="eastAsia"/>
          <w:color w:val="333333"/>
        </w:rPr>
        <w:t xml:space="preserve">　　(此件主动公开)</w:t>
      </w:r>
    </w:p>
    <w:p w:rsidR="00D33022" w:rsidRDefault="00D33022" w:rsidP="00D33022">
      <w:pPr>
        <w:pStyle w:val="a5"/>
        <w:spacing w:line="480" w:lineRule="atLeast"/>
        <w:jc w:val="center"/>
        <w:rPr>
          <w:rFonts w:hint="eastAsia"/>
          <w:color w:val="333333"/>
        </w:rPr>
      </w:pPr>
      <w:r>
        <w:rPr>
          <w:rStyle w:val="a6"/>
          <w:rFonts w:hint="eastAsia"/>
          <w:color w:val="333333"/>
        </w:rPr>
        <w:t>福建省工程研究中心和工程实验室管理暂行办法</w:t>
      </w:r>
    </w:p>
    <w:p w:rsidR="00D33022" w:rsidRDefault="00D33022" w:rsidP="00D33022">
      <w:pPr>
        <w:pStyle w:val="a5"/>
        <w:spacing w:line="480" w:lineRule="atLeast"/>
        <w:jc w:val="both"/>
        <w:rPr>
          <w:rFonts w:hint="eastAsia"/>
          <w:color w:val="333333"/>
        </w:rPr>
      </w:pPr>
      <w:r>
        <w:rPr>
          <w:rFonts w:hint="eastAsia"/>
          <w:color w:val="333333"/>
        </w:rPr>
        <w:t xml:space="preserve">　　第一章 总 则</w:t>
      </w:r>
    </w:p>
    <w:p w:rsidR="00D33022" w:rsidRDefault="00D33022" w:rsidP="00D33022">
      <w:pPr>
        <w:pStyle w:val="a5"/>
        <w:spacing w:line="480" w:lineRule="atLeast"/>
        <w:jc w:val="both"/>
        <w:rPr>
          <w:rFonts w:hint="eastAsia"/>
          <w:color w:val="333333"/>
        </w:rPr>
      </w:pPr>
      <w:r>
        <w:rPr>
          <w:rFonts w:hint="eastAsia"/>
          <w:color w:val="333333"/>
        </w:rPr>
        <w:t xml:space="preserve">　　第一条 为增强自主创新能力，加快建设创新型省份，进一步提升我省工程研究中心、工程实验室管理水平，根据《国家工程研究中心管理办法》、《国家工程实验室管理办法》，结合我省实际，制定本办法。</w:t>
      </w:r>
    </w:p>
    <w:p w:rsidR="00D33022" w:rsidRDefault="00D33022" w:rsidP="00D33022">
      <w:pPr>
        <w:pStyle w:val="a5"/>
        <w:spacing w:line="480" w:lineRule="atLeast"/>
        <w:jc w:val="both"/>
        <w:rPr>
          <w:rFonts w:hint="eastAsia"/>
          <w:color w:val="333333"/>
        </w:rPr>
      </w:pPr>
      <w:r>
        <w:rPr>
          <w:rFonts w:hint="eastAsia"/>
          <w:color w:val="333333"/>
        </w:rPr>
        <w:t xml:space="preserve">　　第二条 本办法适用于福建省工程研究中心、工程实验室(含国家地方联合工程研究中心、工程实验室，下同)的申报、批复、评价、撤销和资金补助等管理行为。</w:t>
      </w:r>
    </w:p>
    <w:p w:rsidR="00D33022" w:rsidRDefault="00D33022" w:rsidP="00D33022">
      <w:pPr>
        <w:pStyle w:val="a5"/>
        <w:spacing w:line="480" w:lineRule="atLeast"/>
        <w:jc w:val="both"/>
        <w:rPr>
          <w:rFonts w:hint="eastAsia"/>
          <w:color w:val="333333"/>
        </w:rPr>
      </w:pPr>
      <w:r>
        <w:rPr>
          <w:rFonts w:hint="eastAsia"/>
          <w:color w:val="333333"/>
        </w:rPr>
        <w:t xml:space="preserve">　　本办法所称工程研究中心，是指福建省发展和改革委员会(以下简称“省发改委”)根据培育发展战略性新兴产业、优化产业结构和建设区域创新体系的战略需求，以提高自主创新能力、增强产业核心竞争力和推动科技成果转化为目标，组织具有较强研究开发和综合实力的高等院校、科研机构和行业优势企业等建设的研究开发实体。</w:t>
      </w:r>
    </w:p>
    <w:p w:rsidR="00D33022" w:rsidRDefault="00D33022" w:rsidP="00D33022">
      <w:pPr>
        <w:pStyle w:val="a5"/>
        <w:spacing w:line="480" w:lineRule="atLeast"/>
        <w:jc w:val="both"/>
        <w:rPr>
          <w:rFonts w:hint="eastAsia"/>
          <w:color w:val="333333"/>
        </w:rPr>
      </w:pPr>
      <w:r>
        <w:rPr>
          <w:rFonts w:hint="eastAsia"/>
          <w:color w:val="333333"/>
        </w:rPr>
        <w:lastRenderedPageBreak/>
        <w:t xml:space="preserve">　　本办法所称工程实验室，是指省发改委组织实施的以提高我省产业自主创新能力，增强核心竞争力为目标，突破重大产业结构调整和重点产业发展中的关键技术装备制约，依托骨干企业、科研机构或高等院校等设立的产学研相结合的研究开发实体。</w:t>
      </w:r>
    </w:p>
    <w:p w:rsidR="00D33022" w:rsidRDefault="00D33022" w:rsidP="00D33022">
      <w:pPr>
        <w:pStyle w:val="a5"/>
        <w:spacing w:line="480" w:lineRule="atLeast"/>
        <w:jc w:val="both"/>
        <w:rPr>
          <w:rFonts w:hint="eastAsia"/>
          <w:color w:val="333333"/>
        </w:rPr>
      </w:pPr>
      <w:r>
        <w:rPr>
          <w:rFonts w:hint="eastAsia"/>
          <w:color w:val="333333"/>
        </w:rPr>
        <w:t xml:space="preserve">　　第三条 主要目标和任务</w:t>
      </w:r>
    </w:p>
    <w:p w:rsidR="00D33022" w:rsidRDefault="00D33022" w:rsidP="00D33022">
      <w:pPr>
        <w:pStyle w:val="a5"/>
        <w:spacing w:line="480" w:lineRule="atLeast"/>
        <w:jc w:val="both"/>
        <w:rPr>
          <w:rFonts w:hint="eastAsia"/>
          <w:color w:val="333333"/>
        </w:rPr>
      </w:pPr>
      <w:r>
        <w:rPr>
          <w:rFonts w:hint="eastAsia"/>
          <w:color w:val="333333"/>
        </w:rPr>
        <w:t xml:space="preserve">　　(一)工程研究中心的主要目标和任务：</w:t>
      </w:r>
    </w:p>
    <w:p w:rsidR="00D33022" w:rsidRDefault="00D33022" w:rsidP="00D33022">
      <w:pPr>
        <w:pStyle w:val="a5"/>
        <w:spacing w:line="480" w:lineRule="atLeast"/>
        <w:jc w:val="both"/>
        <w:rPr>
          <w:rFonts w:hint="eastAsia"/>
          <w:color w:val="333333"/>
        </w:rPr>
      </w:pPr>
      <w:r>
        <w:rPr>
          <w:rFonts w:hint="eastAsia"/>
          <w:color w:val="333333"/>
        </w:rPr>
        <w:t xml:space="preserve">　　1.根据全省经济和产业发展的需求，研究开发产业技术进步和结构调整急需的关键共性技术，开展具有重要市场价值的重大科技成果的工程化和系统集成;</w:t>
      </w:r>
    </w:p>
    <w:p w:rsidR="00D33022" w:rsidRDefault="00D33022" w:rsidP="00D33022">
      <w:pPr>
        <w:pStyle w:val="a5"/>
        <w:spacing w:line="480" w:lineRule="atLeast"/>
        <w:jc w:val="both"/>
        <w:rPr>
          <w:rFonts w:hint="eastAsia"/>
          <w:color w:val="333333"/>
        </w:rPr>
      </w:pPr>
      <w:r>
        <w:rPr>
          <w:rFonts w:hint="eastAsia"/>
          <w:color w:val="333333"/>
        </w:rPr>
        <w:t xml:space="preserve">　　2.建立工程化研究、验证的设施和有利于技术创新、成果转化的机制，搭建产业与科研之间的桥梁，加快科研成果向现实生产力转化，推动高技术产业发展;</w:t>
      </w:r>
    </w:p>
    <w:p w:rsidR="00D33022" w:rsidRDefault="00D33022" w:rsidP="00D33022">
      <w:pPr>
        <w:pStyle w:val="a5"/>
        <w:spacing w:line="480" w:lineRule="atLeast"/>
        <w:jc w:val="both"/>
        <w:rPr>
          <w:rFonts w:hint="eastAsia"/>
          <w:color w:val="333333"/>
        </w:rPr>
      </w:pPr>
      <w:r>
        <w:rPr>
          <w:rFonts w:hint="eastAsia"/>
          <w:color w:val="333333"/>
        </w:rPr>
        <w:t xml:space="preserve">　　3.通过对引进技术的消化吸收再创新、国际产业技术和人才交流与合作，促进自主创新能力的提高;</w:t>
      </w:r>
    </w:p>
    <w:p w:rsidR="00D33022" w:rsidRDefault="00D33022" w:rsidP="00D33022">
      <w:pPr>
        <w:pStyle w:val="a5"/>
        <w:spacing w:line="480" w:lineRule="atLeast"/>
        <w:jc w:val="both"/>
        <w:rPr>
          <w:rFonts w:hint="eastAsia"/>
          <w:color w:val="333333"/>
        </w:rPr>
      </w:pPr>
      <w:r>
        <w:rPr>
          <w:rFonts w:hint="eastAsia"/>
          <w:color w:val="333333"/>
        </w:rPr>
        <w:t xml:space="preserve">　　4.承接政府、高校、科研机构或企业委托的工程技术研究、验证、设计、试验任务，并为其提供相关服务;</w:t>
      </w:r>
    </w:p>
    <w:p w:rsidR="00D33022" w:rsidRDefault="00D33022" w:rsidP="00D33022">
      <w:pPr>
        <w:pStyle w:val="a5"/>
        <w:spacing w:line="480" w:lineRule="atLeast"/>
        <w:jc w:val="both"/>
        <w:rPr>
          <w:rFonts w:hint="eastAsia"/>
          <w:color w:val="333333"/>
        </w:rPr>
      </w:pPr>
      <w:r>
        <w:rPr>
          <w:rFonts w:hint="eastAsia"/>
          <w:color w:val="333333"/>
        </w:rPr>
        <w:t xml:space="preserve">　　5.为行业培养工程技术研究与管理的高层次人才;</w:t>
      </w:r>
    </w:p>
    <w:p w:rsidR="00D33022" w:rsidRDefault="00D33022" w:rsidP="00D33022">
      <w:pPr>
        <w:pStyle w:val="a5"/>
        <w:spacing w:line="480" w:lineRule="atLeast"/>
        <w:jc w:val="both"/>
        <w:rPr>
          <w:rFonts w:hint="eastAsia"/>
          <w:color w:val="333333"/>
        </w:rPr>
      </w:pPr>
      <w:r>
        <w:rPr>
          <w:rFonts w:hint="eastAsia"/>
          <w:color w:val="333333"/>
        </w:rPr>
        <w:t xml:space="preserve">　　6.研究制定重要产业技术标准;</w:t>
      </w:r>
    </w:p>
    <w:p w:rsidR="00D33022" w:rsidRDefault="00D33022" w:rsidP="00D33022">
      <w:pPr>
        <w:pStyle w:val="a5"/>
        <w:spacing w:line="480" w:lineRule="atLeast"/>
        <w:jc w:val="both"/>
        <w:rPr>
          <w:rFonts w:hint="eastAsia"/>
          <w:color w:val="333333"/>
        </w:rPr>
      </w:pPr>
      <w:r>
        <w:rPr>
          <w:rFonts w:hint="eastAsia"/>
          <w:color w:val="333333"/>
        </w:rPr>
        <w:t xml:space="preserve">　　7.为建设国家工程研究中心做好技术、人才和成果的储备。</w:t>
      </w:r>
    </w:p>
    <w:p w:rsidR="00D33022" w:rsidRDefault="00D33022" w:rsidP="00D33022">
      <w:pPr>
        <w:pStyle w:val="a5"/>
        <w:spacing w:line="480" w:lineRule="atLeast"/>
        <w:jc w:val="both"/>
        <w:rPr>
          <w:rFonts w:hint="eastAsia"/>
          <w:color w:val="333333"/>
        </w:rPr>
      </w:pPr>
      <w:r>
        <w:rPr>
          <w:rFonts w:hint="eastAsia"/>
          <w:color w:val="333333"/>
        </w:rPr>
        <w:t xml:space="preserve">　　(二)工程实验室的主要目标和任务：</w:t>
      </w:r>
    </w:p>
    <w:p w:rsidR="00D33022" w:rsidRDefault="00D33022" w:rsidP="00D33022">
      <w:pPr>
        <w:pStyle w:val="a5"/>
        <w:spacing w:line="480" w:lineRule="atLeast"/>
        <w:jc w:val="both"/>
        <w:rPr>
          <w:rFonts w:hint="eastAsia"/>
          <w:color w:val="333333"/>
        </w:rPr>
      </w:pPr>
      <w:r>
        <w:rPr>
          <w:rFonts w:hint="eastAsia"/>
          <w:color w:val="333333"/>
        </w:rPr>
        <w:t xml:space="preserve">　　1.建立先进的产业技术研发试验设施，开展重点产业核心技术和关键工艺的试验研究、重大装备样机及其关键部件的研制、产业结构优化升级的战略性与前瞻性的技术研发，提升产业持续发展能力;</w:t>
      </w:r>
    </w:p>
    <w:p w:rsidR="00D33022" w:rsidRDefault="00D33022" w:rsidP="00D33022">
      <w:pPr>
        <w:pStyle w:val="a5"/>
        <w:spacing w:line="480" w:lineRule="atLeast"/>
        <w:jc w:val="both"/>
        <w:rPr>
          <w:rFonts w:hint="eastAsia"/>
          <w:color w:val="333333"/>
        </w:rPr>
      </w:pPr>
      <w:r>
        <w:rPr>
          <w:rFonts w:hint="eastAsia"/>
          <w:color w:val="333333"/>
        </w:rPr>
        <w:t xml:space="preserve">　　2.促进重大科技成果的转化和应用，为行业提供技术支撑与服务;</w:t>
      </w:r>
    </w:p>
    <w:p w:rsidR="00D33022" w:rsidRDefault="00D33022" w:rsidP="00D33022">
      <w:pPr>
        <w:pStyle w:val="a5"/>
        <w:spacing w:line="480" w:lineRule="atLeast"/>
        <w:jc w:val="both"/>
        <w:rPr>
          <w:rFonts w:hint="eastAsia"/>
          <w:color w:val="333333"/>
        </w:rPr>
      </w:pPr>
      <w:r>
        <w:rPr>
          <w:rFonts w:hint="eastAsia"/>
          <w:color w:val="333333"/>
        </w:rPr>
        <w:t xml:space="preserve">　　3.建立健全协同共赢的产学研合作机制，探索有效的组织形式和运行机制，开展国内外产业技术和人才交流与合作;</w:t>
      </w:r>
    </w:p>
    <w:p w:rsidR="00D33022" w:rsidRDefault="00D33022" w:rsidP="00D33022">
      <w:pPr>
        <w:pStyle w:val="a5"/>
        <w:spacing w:line="480" w:lineRule="atLeast"/>
        <w:jc w:val="both"/>
        <w:rPr>
          <w:rFonts w:hint="eastAsia"/>
          <w:color w:val="333333"/>
        </w:rPr>
      </w:pPr>
      <w:r>
        <w:rPr>
          <w:rFonts w:hint="eastAsia"/>
          <w:color w:val="333333"/>
        </w:rPr>
        <w:t xml:space="preserve">　　4.凝聚和培养工程技术创新人才，形成具有行业领先水平、结构合理的创新团队;</w:t>
      </w:r>
    </w:p>
    <w:p w:rsidR="00D33022" w:rsidRDefault="00D33022" w:rsidP="00D33022">
      <w:pPr>
        <w:pStyle w:val="a5"/>
        <w:spacing w:line="480" w:lineRule="atLeast"/>
        <w:jc w:val="both"/>
        <w:rPr>
          <w:rFonts w:hint="eastAsia"/>
          <w:color w:val="333333"/>
        </w:rPr>
      </w:pPr>
      <w:r>
        <w:rPr>
          <w:rFonts w:hint="eastAsia"/>
          <w:color w:val="333333"/>
        </w:rPr>
        <w:t xml:space="preserve">　　5.研究制定重要产业技术标准;</w:t>
      </w:r>
    </w:p>
    <w:p w:rsidR="00D33022" w:rsidRDefault="00D33022" w:rsidP="00D33022">
      <w:pPr>
        <w:pStyle w:val="a5"/>
        <w:spacing w:line="480" w:lineRule="atLeast"/>
        <w:jc w:val="both"/>
        <w:rPr>
          <w:rFonts w:hint="eastAsia"/>
          <w:color w:val="333333"/>
        </w:rPr>
      </w:pPr>
      <w:r>
        <w:rPr>
          <w:rFonts w:hint="eastAsia"/>
          <w:color w:val="333333"/>
        </w:rPr>
        <w:t xml:space="preserve">　　6.为建设国家工程实验室做好技术、人才和成果的储备。</w:t>
      </w:r>
    </w:p>
    <w:p w:rsidR="00D33022" w:rsidRDefault="00D33022" w:rsidP="00D33022">
      <w:pPr>
        <w:pStyle w:val="a5"/>
        <w:spacing w:line="480" w:lineRule="atLeast"/>
        <w:jc w:val="both"/>
        <w:rPr>
          <w:rFonts w:hint="eastAsia"/>
          <w:color w:val="333333"/>
        </w:rPr>
      </w:pPr>
      <w:r>
        <w:rPr>
          <w:rFonts w:hint="eastAsia"/>
          <w:color w:val="333333"/>
        </w:rPr>
        <w:t xml:space="preserve">　　第二章 申报与审理</w:t>
      </w:r>
    </w:p>
    <w:p w:rsidR="00D33022" w:rsidRDefault="00D33022" w:rsidP="00D33022">
      <w:pPr>
        <w:pStyle w:val="a5"/>
        <w:spacing w:line="480" w:lineRule="atLeast"/>
        <w:jc w:val="both"/>
        <w:rPr>
          <w:rFonts w:hint="eastAsia"/>
          <w:color w:val="333333"/>
        </w:rPr>
      </w:pPr>
      <w:r>
        <w:rPr>
          <w:rFonts w:hint="eastAsia"/>
          <w:color w:val="333333"/>
        </w:rPr>
        <w:lastRenderedPageBreak/>
        <w:t xml:space="preserve">　　第四条 省发改委是设立工程研究中心、工程实验室的组织部门，研究提出工程研究中心、工程实验室重点建设领域，指导组织审核、批复、评价、安排补助资金等工作。</w:t>
      </w:r>
    </w:p>
    <w:p w:rsidR="00D33022" w:rsidRDefault="00D33022" w:rsidP="00D33022">
      <w:pPr>
        <w:pStyle w:val="a5"/>
        <w:spacing w:line="480" w:lineRule="atLeast"/>
        <w:jc w:val="both"/>
        <w:rPr>
          <w:rFonts w:hint="eastAsia"/>
          <w:color w:val="333333"/>
        </w:rPr>
      </w:pPr>
      <w:r>
        <w:rPr>
          <w:rFonts w:hint="eastAsia"/>
          <w:color w:val="333333"/>
        </w:rPr>
        <w:t xml:space="preserve">　　第五条 工程研究中心、工程实验室的主管部门要负责组织本单位或所属地区工程研究中心、工程实验室的申报和管理工作。</w:t>
      </w:r>
    </w:p>
    <w:p w:rsidR="00D33022" w:rsidRDefault="00D33022" w:rsidP="00D33022">
      <w:pPr>
        <w:pStyle w:val="a5"/>
        <w:spacing w:line="480" w:lineRule="atLeast"/>
        <w:jc w:val="both"/>
        <w:rPr>
          <w:rFonts w:hint="eastAsia"/>
          <w:color w:val="333333"/>
        </w:rPr>
      </w:pPr>
      <w:r>
        <w:rPr>
          <w:rFonts w:hint="eastAsia"/>
          <w:color w:val="333333"/>
        </w:rPr>
        <w:t xml:space="preserve">　　第六条 拟申请工程研究中心、工程实验室的承担单位(以下简称“承担单位”)应具备以下条件：</w:t>
      </w:r>
    </w:p>
    <w:p w:rsidR="00D33022" w:rsidRDefault="00D33022" w:rsidP="00D33022">
      <w:pPr>
        <w:pStyle w:val="a5"/>
        <w:spacing w:line="480" w:lineRule="atLeast"/>
        <w:jc w:val="both"/>
        <w:rPr>
          <w:rFonts w:hint="eastAsia"/>
          <w:color w:val="333333"/>
        </w:rPr>
      </w:pPr>
      <w:r>
        <w:rPr>
          <w:rFonts w:hint="eastAsia"/>
          <w:color w:val="333333"/>
        </w:rPr>
        <w:t xml:space="preserve">　　(一)与国内同行相比，具有较高水平的研究开发和技术集成能力及相应的人才队伍。拥有研发场所面积1500平方米以上，仪器设备原值2000万元以上，中、高级职称以上的研发人员不少于35人，并占研发人员的50%以上;</w:t>
      </w:r>
    </w:p>
    <w:p w:rsidR="00D33022" w:rsidRDefault="00D33022" w:rsidP="00D33022">
      <w:pPr>
        <w:pStyle w:val="a5"/>
        <w:spacing w:line="480" w:lineRule="atLeast"/>
        <w:jc w:val="both"/>
        <w:rPr>
          <w:rFonts w:hint="eastAsia"/>
          <w:color w:val="333333"/>
        </w:rPr>
      </w:pPr>
      <w:r>
        <w:rPr>
          <w:rFonts w:hint="eastAsia"/>
          <w:color w:val="333333"/>
        </w:rPr>
        <w:t xml:space="preserve">　　(二)具有一批拥有自主知识产权、有待工程化开发、技术含量高和市场前景好的科技成果;</w:t>
      </w:r>
    </w:p>
    <w:p w:rsidR="00D33022" w:rsidRDefault="00D33022" w:rsidP="00D33022">
      <w:pPr>
        <w:pStyle w:val="a5"/>
        <w:spacing w:line="480" w:lineRule="atLeast"/>
        <w:jc w:val="both"/>
        <w:rPr>
          <w:rFonts w:hint="eastAsia"/>
          <w:color w:val="333333"/>
        </w:rPr>
      </w:pPr>
      <w:r>
        <w:rPr>
          <w:rFonts w:hint="eastAsia"/>
          <w:color w:val="333333"/>
        </w:rPr>
        <w:t xml:space="preserve">　　(三)具有以市场为导向，将重大科技成果向规模生产转化的工程化研究验证环境和能力;</w:t>
      </w:r>
    </w:p>
    <w:p w:rsidR="00D33022" w:rsidRDefault="00D33022" w:rsidP="00D33022">
      <w:pPr>
        <w:pStyle w:val="a5"/>
        <w:spacing w:line="480" w:lineRule="atLeast"/>
        <w:jc w:val="both"/>
        <w:rPr>
          <w:rFonts w:hint="eastAsia"/>
          <w:color w:val="333333"/>
        </w:rPr>
      </w:pPr>
      <w:r>
        <w:rPr>
          <w:rFonts w:hint="eastAsia"/>
          <w:color w:val="333333"/>
        </w:rPr>
        <w:t xml:space="preserve">　　(四)具有通过市场机制实现技术转移和扩散，促进科技成果产业化，形成良性循环的自我发展能力;</w:t>
      </w:r>
    </w:p>
    <w:p w:rsidR="00D33022" w:rsidRDefault="00D33022" w:rsidP="00D33022">
      <w:pPr>
        <w:pStyle w:val="a5"/>
        <w:spacing w:line="480" w:lineRule="atLeast"/>
        <w:jc w:val="both"/>
        <w:rPr>
          <w:rFonts w:hint="eastAsia"/>
          <w:color w:val="333333"/>
        </w:rPr>
      </w:pPr>
      <w:r>
        <w:rPr>
          <w:rFonts w:hint="eastAsia"/>
          <w:color w:val="333333"/>
        </w:rPr>
        <w:t xml:space="preserve">　　(五)具有完善的人才激励、知识产权管理、开放共享等管理制度。</w:t>
      </w:r>
    </w:p>
    <w:p w:rsidR="00D33022" w:rsidRDefault="00D33022" w:rsidP="00D33022">
      <w:pPr>
        <w:pStyle w:val="a5"/>
        <w:spacing w:line="480" w:lineRule="atLeast"/>
        <w:jc w:val="both"/>
        <w:rPr>
          <w:rFonts w:hint="eastAsia"/>
          <w:color w:val="333333"/>
        </w:rPr>
      </w:pPr>
      <w:r>
        <w:rPr>
          <w:rFonts w:hint="eastAsia"/>
          <w:color w:val="333333"/>
        </w:rPr>
        <w:t xml:space="preserve">　　第七条 承担单位需根据国家、全省战略性新兴产业发展规划和自主创新能力建设重点领域等相关文件要求，结合自身的优势和具体情况，提出工程研究中心或工程实验室申请报告(附件1)，经主管部门审查后转报省发改委。</w:t>
      </w:r>
    </w:p>
    <w:p w:rsidR="00D33022" w:rsidRDefault="00D33022" w:rsidP="00D33022">
      <w:pPr>
        <w:pStyle w:val="a5"/>
        <w:spacing w:line="480" w:lineRule="atLeast"/>
        <w:jc w:val="both"/>
        <w:rPr>
          <w:rFonts w:hint="eastAsia"/>
          <w:color w:val="333333"/>
        </w:rPr>
      </w:pPr>
      <w:r>
        <w:rPr>
          <w:rFonts w:hint="eastAsia"/>
          <w:color w:val="333333"/>
        </w:rPr>
        <w:t xml:space="preserve">　　第八条 省发改委组织专家或委托有关咨询机构对申请报告进行评审，必要时征求相关部门和地方的意见，符合条件的，将在20个工作日(不含专家评审和征求部门、地方意见时间)内予以批复。</w:t>
      </w:r>
    </w:p>
    <w:p w:rsidR="00D33022" w:rsidRDefault="00D33022" w:rsidP="00D33022">
      <w:pPr>
        <w:pStyle w:val="a5"/>
        <w:spacing w:line="480" w:lineRule="atLeast"/>
        <w:jc w:val="both"/>
        <w:rPr>
          <w:rFonts w:hint="eastAsia"/>
          <w:color w:val="333333"/>
        </w:rPr>
      </w:pPr>
      <w:r>
        <w:rPr>
          <w:rFonts w:hint="eastAsia"/>
          <w:color w:val="333333"/>
        </w:rPr>
        <w:t xml:space="preserve">　　第九条 省发改委批复申请报告后，工程研究中心(工程实验室)按批复内容统一命名为“福建省××工程研究中心(工程实验室)”，英文名称：“Fujian Engineering Research Center(Engineering Laboratory) of ××”。并开展实施申请报告中确定的各项工作任务。</w:t>
      </w:r>
    </w:p>
    <w:p w:rsidR="00D33022" w:rsidRDefault="00D33022" w:rsidP="00D33022">
      <w:pPr>
        <w:pStyle w:val="a5"/>
        <w:spacing w:line="480" w:lineRule="atLeast"/>
        <w:jc w:val="both"/>
        <w:rPr>
          <w:rFonts w:hint="eastAsia"/>
          <w:color w:val="333333"/>
        </w:rPr>
      </w:pPr>
      <w:r>
        <w:rPr>
          <w:rFonts w:hint="eastAsia"/>
          <w:color w:val="333333"/>
        </w:rPr>
        <w:lastRenderedPageBreak/>
        <w:t xml:space="preserve">　　第十条 鼓励相关领域的优势科研单位、高校、企业、社会投资机构联合申请组建工程研究中心或工程实验室;鼓励引进海内外一流技术人才和管理人才参与组建;鼓励采用公司法人形式和探索其他有效的组织形式。</w:t>
      </w:r>
    </w:p>
    <w:p w:rsidR="00D33022" w:rsidRDefault="00D33022" w:rsidP="00D33022">
      <w:pPr>
        <w:pStyle w:val="a5"/>
        <w:spacing w:line="480" w:lineRule="atLeast"/>
        <w:jc w:val="both"/>
        <w:rPr>
          <w:rFonts w:hint="eastAsia"/>
          <w:color w:val="333333"/>
        </w:rPr>
      </w:pPr>
      <w:r>
        <w:rPr>
          <w:rFonts w:hint="eastAsia"/>
          <w:color w:val="333333"/>
        </w:rPr>
        <w:t xml:space="preserve">　　第三章 评价与考核</w:t>
      </w:r>
    </w:p>
    <w:p w:rsidR="00D33022" w:rsidRDefault="00D33022" w:rsidP="00D33022">
      <w:pPr>
        <w:pStyle w:val="a5"/>
        <w:spacing w:line="480" w:lineRule="atLeast"/>
        <w:jc w:val="both"/>
        <w:rPr>
          <w:rFonts w:hint="eastAsia"/>
          <w:color w:val="333333"/>
        </w:rPr>
      </w:pPr>
      <w:r>
        <w:rPr>
          <w:rFonts w:hint="eastAsia"/>
          <w:color w:val="333333"/>
        </w:rPr>
        <w:t xml:space="preserve">　　第十一条 工程研究中心、工程实验室实行优胜劣汰、动态调整的运行评价机制。每年1月底前提交一份年度工作总结;每两年进行一次评价。</w:t>
      </w:r>
    </w:p>
    <w:p w:rsidR="00D33022" w:rsidRDefault="00D33022" w:rsidP="00D33022">
      <w:pPr>
        <w:pStyle w:val="a5"/>
        <w:spacing w:line="480" w:lineRule="atLeast"/>
        <w:jc w:val="both"/>
        <w:rPr>
          <w:rFonts w:hint="eastAsia"/>
          <w:color w:val="333333"/>
        </w:rPr>
      </w:pPr>
      <w:r>
        <w:rPr>
          <w:rFonts w:hint="eastAsia"/>
          <w:color w:val="333333"/>
        </w:rPr>
        <w:t xml:space="preserve">　　第十二条 评价程序：</w:t>
      </w:r>
    </w:p>
    <w:p w:rsidR="00D33022" w:rsidRDefault="00D33022" w:rsidP="00D33022">
      <w:pPr>
        <w:pStyle w:val="a5"/>
        <w:spacing w:line="480" w:lineRule="atLeast"/>
        <w:jc w:val="both"/>
        <w:rPr>
          <w:rFonts w:hint="eastAsia"/>
          <w:color w:val="333333"/>
        </w:rPr>
      </w:pPr>
      <w:r>
        <w:rPr>
          <w:rFonts w:hint="eastAsia"/>
          <w:color w:val="333333"/>
        </w:rPr>
        <w:t xml:space="preserve">　　(一)填报与初审。工程研究中心、工程实验室应于评价当年1月底前将评价材料报主管部门。评价材料包括：《福建省工程研究中心(工程实验室)年度/评价总结报告》(附件2)、《工程研究中心(工程实验室)数据填报表》(附表)及其相关附件和证明材料。主管部门对上报的材料进行初审，并出具审查意见，于2月底前报送省发改委。</w:t>
      </w:r>
    </w:p>
    <w:p w:rsidR="00D33022" w:rsidRDefault="00D33022" w:rsidP="00D33022">
      <w:pPr>
        <w:pStyle w:val="a5"/>
        <w:spacing w:line="480" w:lineRule="atLeast"/>
        <w:jc w:val="both"/>
        <w:rPr>
          <w:rFonts w:hint="eastAsia"/>
          <w:color w:val="333333"/>
        </w:rPr>
      </w:pPr>
      <w:r>
        <w:rPr>
          <w:rFonts w:hint="eastAsia"/>
          <w:color w:val="333333"/>
        </w:rPr>
        <w:t xml:space="preserve">　　(二)评价与审核。省发改委组织专家或委托第三方咨询机构，按照评价指标体系(附件3)进行核查、计算和分析，得出评价结果，形成评价报告。省发改委对评价结果和评价报告进行审核确认。</w:t>
      </w:r>
    </w:p>
    <w:p w:rsidR="00D33022" w:rsidRDefault="00D33022" w:rsidP="00D33022">
      <w:pPr>
        <w:pStyle w:val="a5"/>
        <w:spacing w:line="480" w:lineRule="atLeast"/>
        <w:jc w:val="both"/>
        <w:rPr>
          <w:rFonts w:hint="eastAsia"/>
          <w:color w:val="333333"/>
        </w:rPr>
      </w:pPr>
      <w:r>
        <w:rPr>
          <w:rFonts w:hint="eastAsia"/>
          <w:color w:val="333333"/>
        </w:rPr>
        <w:t xml:space="preserve">　　第十三条 工程研究中心、工程实验室评价结果分为优秀、良好、合格和不合格：</w:t>
      </w:r>
    </w:p>
    <w:p w:rsidR="00D33022" w:rsidRDefault="00D33022" w:rsidP="00D33022">
      <w:pPr>
        <w:pStyle w:val="a5"/>
        <w:spacing w:line="480" w:lineRule="atLeast"/>
        <w:jc w:val="both"/>
        <w:rPr>
          <w:rFonts w:hint="eastAsia"/>
          <w:color w:val="333333"/>
        </w:rPr>
      </w:pPr>
      <w:r>
        <w:rPr>
          <w:rFonts w:hint="eastAsia"/>
          <w:color w:val="333333"/>
        </w:rPr>
        <w:t xml:space="preserve">　　(一)评价得分85分(含85分)以上，或评价年期间取得国家科技奖为优秀;</w:t>
      </w:r>
    </w:p>
    <w:p w:rsidR="00D33022" w:rsidRDefault="00D33022" w:rsidP="00D33022">
      <w:pPr>
        <w:pStyle w:val="a5"/>
        <w:spacing w:line="480" w:lineRule="atLeast"/>
        <w:jc w:val="both"/>
        <w:rPr>
          <w:rFonts w:hint="eastAsia"/>
          <w:color w:val="333333"/>
        </w:rPr>
      </w:pPr>
      <w:r>
        <w:rPr>
          <w:rFonts w:hint="eastAsia"/>
          <w:color w:val="333333"/>
        </w:rPr>
        <w:t xml:space="preserve">　　(二)评价得分75分(含75分)至85分之间为良好;</w:t>
      </w:r>
    </w:p>
    <w:p w:rsidR="00D33022" w:rsidRDefault="00D33022" w:rsidP="00D33022">
      <w:pPr>
        <w:pStyle w:val="a5"/>
        <w:spacing w:line="480" w:lineRule="atLeast"/>
        <w:jc w:val="both"/>
        <w:rPr>
          <w:rFonts w:hint="eastAsia"/>
          <w:color w:val="333333"/>
        </w:rPr>
      </w:pPr>
      <w:r>
        <w:rPr>
          <w:rFonts w:hint="eastAsia"/>
          <w:color w:val="333333"/>
        </w:rPr>
        <w:t xml:space="preserve">　　(三)评价得分60分(含60分)至75分之间为合格;</w:t>
      </w:r>
    </w:p>
    <w:p w:rsidR="00D33022" w:rsidRDefault="00D33022" w:rsidP="00D33022">
      <w:pPr>
        <w:pStyle w:val="a5"/>
        <w:spacing w:line="480" w:lineRule="atLeast"/>
        <w:jc w:val="both"/>
        <w:rPr>
          <w:rFonts w:hint="eastAsia"/>
          <w:color w:val="333333"/>
        </w:rPr>
      </w:pPr>
      <w:r>
        <w:rPr>
          <w:rFonts w:hint="eastAsia"/>
          <w:color w:val="333333"/>
        </w:rPr>
        <w:t xml:space="preserve">　　(四)有以下情况之一的评价为不合格：</w:t>
      </w:r>
    </w:p>
    <w:p w:rsidR="00D33022" w:rsidRDefault="00D33022" w:rsidP="00D33022">
      <w:pPr>
        <w:pStyle w:val="a5"/>
        <w:spacing w:line="480" w:lineRule="atLeast"/>
        <w:jc w:val="both"/>
        <w:rPr>
          <w:rFonts w:hint="eastAsia"/>
          <w:color w:val="333333"/>
        </w:rPr>
      </w:pPr>
      <w:r>
        <w:rPr>
          <w:rFonts w:hint="eastAsia"/>
          <w:color w:val="333333"/>
        </w:rPr>
        <w:t xml:space="preserve">　　1.评价得分低于60分;</w:t>
      </w:r>
    </w:p>
    <w:p w:rsidR="00D33022" w:rsidRDefault="00D33022" w:rsidP="00D33022">
      <w:pPr>
        <w:pStyle w:val="a5"/>
        <w:spacing w:line="480" w:lineRule="atLeast"/>
        <w:jc w:val="both"/>
        <w:rPr>
          <w:rFonts w:hint="eastAsia"/>
          <w:color w:val="333333"/>
        </w:rPr>
      </w:pPr>
      <w:r>
        <w:rPr>
          <w:rFonts w:hint="eastAsia"/>
          <w:color w:val="333333"/>
        </w:rPr>
        <w:t xml:space="preserve">　　2.连续两次评价得分在60分(含60分)至65分之间;</w:t>
      </w:r>
    </w:p>
    <w:p w:rsidR="00D33022" w:rsidRDefault="00D33022" w:rsidP="00D33022">
      <w:pPr>
        <w:pStyle w:val="a5"/>
        <w:spacing w:line="480" w:lineRule="atLeast"/>
        <w:jc w:val="both"/>
        <w:rPr>
          <w:rFonts w:hint="eastAsia"/>
          <w:color w:val="333333"/>
        </w:rPr>
      </w:pPr>
      <w:r>
        <w:rPr>
          <w:rFonts w:hint="eastAsia"/>
          <w:color w:val="333333"/>
        </w:rPr>
        <w:t xml:space="preserve">　　3.逾期一个月不上报评价材料;</w:t>
      </w:r>
    </w:p>
    <w:p w:rsidR="00D33022" w:rsidRDefault="00D33022" w:rsidP="00D33022">
      <w:pPr>
        <w:pStyle w:val="a5"/>
        <w:spacing w:line="480" w:lineRule="atLeast"/>
        <w:jc w:val="both"/>
        <w:rPr>
          <w:rFonts w:hint="eastAsia"/>
          <w:color w:val="333333"/>
        </w:rPr>
      </w:pPr>
      <w:r>
        <w:rPr>
          <w:rFonts w:hint="eastAsia"/>
          <w:color w:val="333333"/>
        </w:rPr>
        <w:t xml:space="preserve">　　4.报送材料内容和数据涉及虚假或违法违规行为等。</w:t>
      </w:r>
    </w:p>
    <w:p w:rsidR="00D33022" w:rsidRDefault="00D33022" w:rsidP="00D33022">
      <w:pPr>
        <w:pStyle w:val="a5"/>
        <w:spacing w:line="480" w:lineRule="atLeast"/>
        <w:jc w:val="both"/>
        <w:rPr>
          <w:rFonts w:hint="eastAsia"/>
          <w:color w:val="333333"/>
        </w:rPr>
      </w:pPr>
      <w:r>
        <w:rPr>
          <w:rFonts w:hint="eastAsia"/>
          <w:color w:val="333333"/>
        </w:rPr>
        <w:t xml:space="preserve">　　第十四条 省发改委对评价结果予以公布，并将其作为工程研究中心、工程实验室管理和安排补助资金的重要依据。</w:t>
      </w:r>
    </w:p>
    <w:p w:rsidR="00D33022" w:rsidRDefault="00D33022" w:rsidP="00D33022">
      <w:pPr>
        <w:pStyle w:val="a5"/>
        <w:spacing w:line="480" w:lineRule="atLeast"/>
        <w:jc w:val="both"/>
        <w:rPr>
          <w:rFonts w:hint="eastAsia"/>
          <w:color w:val="333333"/>
        </w:rPr>
      </w:pPr>
      <w:r>
        <w:rPr>
          <w:rFonts w:hint="eastAsia"/>
          <w:color w:val="333333"/>
        </w:rPr>
        <w:t xml:space="preserve">　　第四章 创新能力建设</w:t>
      </w:r>
    </w:p>
    <w:p w:rsidR="00D33022" w:rsidRDefault="00D33022" w:rsidP="00D33022">
      <w:pPr>
        <w:pStyle w:val="a5"/>
        <w:spacing w:line="480" w:lineRule="atLeast"/>
        <w:jc w:val="both"/>
        <w:rPr>
          <w:rFonts w:hint="eastAsia"/>
          <w:color w:val="333333"/>
        </w:rPr>
      </w:pPr>
      <w:r>
        <w:rPr>
          <w:rFonts w:hint="eastAsia"/>
          <w:color w:val="333333"/>
        </w:rPr>
        <w:lastRenderedPageBreak/>
        <w:t xml:space="preserve">　　第十五条 项目建设所需资金以承担单位自筹为主。评价结果为优良的(75分及以上)，可申请省发改委创新能力建设专项资金。专项资金以直接补助形式，主要用于购置工程化、产业化研发所需的软硬件设备，建设工程化的验证和测试环境等。</w:t>
      </w:r>
    </w:p>
    <w:p w:rsidR="00D33022" w:rsidRDefault="00D33022" w:rsidP="00D33022">
      <w:pPr>
        <w:pStyle w:val="a5"/>
        <w:spacing w:line="480" w:lineRule="atLeast"/>
        <w:jc w:val="both"/>
        <w:rPr>
          <w:rFonts w:hint="eastAsia"/>
          <w:color w:val="333333"/>
        </w:rPr>
      </w:pPr>
      <w:r>
        <w:rPr>
          <w:rFonts w:hint="eastAsia"/>
          <w:color w:val="333333"/>
        </w:rPr>
        <w:t xml:space="preserve">　　第十六条 申请创新能力建设专项资金的，须编制创新能力建设资金申请报告(附件4)，经主管部门审查通过后，将资金申请报告报送省发改委。省发改委组织专家进行论证，或委托咨询机构对资金申请报告进行评审(必要时可征求有关部门和地方意见)，根据评审情况和择优原则予以安排补助资金。</w:t>
      </w:r>
    </w:p>
    <w:p w:rsidR="00D33022" w:rsidRDefault="00D33022" w:rsidP="00D33022">
      <w:pPr>
        <w:pStyle w:val="a5"/>
        <w:spacing w:line="480" w:lineRule="atLeast"/>
        <w:jc w:val="both"/>
        <w:rPr>
          <w:rFonts w:hint="eastAsia"/>
          <w:color w:val="333333"/>
        </w:rPr>
      </w:pPr>
      <w:r>
        <w:rPr>
          <w:rFonts w:hint="eastAsia"/>
          <w:color w:val="333333"/>
        </w:rPr>
        <w:t xml:space="preserve">　　第十七条 省级工程研究中心、工程实验室应积极创造条件申报国家工程研究中心(工程实验室)、国家地方联合工程研究中心(工程实验室)。对获得国家发展改革委认定的，按照《关于加快高水平科技研发创新平台建设发展六条措施的通知》(闽政办[2016]19号)精神，省发改委予以安排相应的补助资金。</w:t>
      </w:r>
    </w:p>
    <w:p w:rsidR="00D33022" w:rsidRDefault="00D33022" w:rsidP="00D33022">
      <w:pPr>
        <w:pStyle w:val="a5"/>
        <w:spacing w:line="480" w:lineRule="atLeast"/>
        <w:jc w:val="both"/>
        <w:rPr>
          <w:rFonts w:hint="eastAsia"/>
          <w:color w:val="333333"/>
        </w:rPr>
      </w:pPr>
      <w:r>
        <w:rPr>
          <w:rFonts w:hint="eastAsia"/>
          <w:color w:val="333333"/>
        </w:rPr>
        <w:t xml:space="preserve">　　第十八条 为鼓励创新平台持续加大研发投入，促进科技成果转化，对评价结果名列前茅(参评总数5%)且“加分项”达到5分及以上的创新平台，在已获得省发改委创新能力建设专项资金的基础上，可再次申请专项资金。</w:t>
      </w:r>
    </w:p>
    <w:p w:rsidR="00D33022" w:rsidRDefault="00D33022" w:rsidP="00D33022">
      <w:pPr>
        <w:pStyle w:val="a5"/>
        <w:spacing w:line="480" w:lineRule="atLeast"/>
        <w:jc w:val="both"/>
        <w:rPr>
          <w:rFonts w:hint="eastAsia"/>
          <w:color w:val="333333"/>
        </w:rPr>
      </w:pPr>
      <w:r>
        <w:rPr>
          <w:rFonts w:hint="eastAsia"/>
          <w:color w:val="333333"/>
        </w:rPr>
        <w:t xml:space="preserve">　　第五章 监督与管理</w:t>
      </w:r>
    </w:p>
    <w:p w:rsidR="00D33022" w:rsidRDefault="00D33022" w:rsidP="00D33022">
      <w:pPr>
        <w:pStyle w:val="a5"/>
        <w:spacing w:line="480" w:lineRule="atLeast"/>
        <w:jc w:val="both"/>
        <w:rPr>
          <w:rFonts w:hint="eastAsia"/>
          <w:color w:val="333333"/>
        </w:rPr>
      </w:pPr>
      <w:r>
        <w:rPr>
          <w:rFonts w:hint="eastAsia"/>
          <w:color w:val="333333"/>
        </w:rPr>
        <w:t xml:space="preserve">　　第十九条 主管部门根据国家和省里有关规定建立相应管理制度，加强对工程研究中心、工程实验室相关工作的监督管理，配合有关部门做好稽察、检查和审计等工作。</w:t>
      </w:r>
    </w:p>
    <w:p w:rsidR="00D33022" w:rsidRDefault="00D33022" w:rsidP="00D33022">
      <w:pPr>
        <w:pStyle w:val="a5"/>
        <w:spacing w:line="480" w:lineRule="atLeast"/>
        <w:jc w:val="both"/>
        <w:rPr>
          <w:rFonts w:hint="eastAsia"/>
          <w:color w:val="333333"/>
        </w:rPr>
      </w:pPr>
      <w:r>
        <w:rPr>
          <w:rFonts w:hint="eastAsia"/>
          <w:color w:val="333333"/>
        </w:rPr>
        <w:t xml:space="preserve">　　第二十条　承担单位要严格执行经批复的申请报告。对于发生重大变化，涉及功能、任务和建设内容重大调整的，由主管部门提出调整建议并报省发改委审核。</w:t>
      </w:r>
    </w:p>
    <w:p w:rsidR="00D33022" w:rsidRDefault="00D33022" w:rsidP="00D33022">
      <w:pPr>
        <w:pStyle w:val="a5"/>
        <w:spacing w:line="480" w:lineRule="atLeast"/>
        <w:jc w:val="both"/>
        <w:rPr>
          <w:rFonts w:hint="eastAsia"/>
          <w:color w:val="333333"/>
        </w:rPr>
      </w:pPr>
      <w:r>
        <w:rPr>
          <w:rFonts w:hint="eastAsia"/>
          <w:color w:val="333333"/>
        </w:rPr>
        <w:t xml:space="preserve">　　第二十一条　省发改委对于评价结果为不合格的，给予通报并撤销其称号，且5年内不得重新申报。</w:t>
      </w:r>
    </w:p>
    <w:p w:rsidR="00D33022" w:rsidRDefault="00D33022" w:rsidP="00D33022">
      <w:pPr>
        <w:pStyle w:val="a5"/>
        <w:spacing w:line="480" w:lineRule="atLeast"/>
        <w:jc w:val="both"/>
        <w:rPr>
          <w:rFonts w:hint="eastAsia"/>
          <w:color w:val="333333"/>
        </w:rPr>
      </w:pPr>
      <w:r>
        <w:rPr>
          <w:rFonts w:hint="eastAsia"/>
          <w:color w:val="333333"/>
        </w:rPr>
        <w:t xml:space="preserve">　　第二十二条　对于无法完成发展目标的工程研究中心、工程实验室，主管部门要及时查找原因，明确相关责任，提出处理建议并报送省发改委。省发改委根据具体情况给予限期整改、通报批评、收回已拨付的补助资金、撤销其称号等处理。对情节恶劣或后果严重的，提请或移交有关机关依法追究相关责任人的行政或法律责任。</w:t>
      </w:r>
    </w:p>
    <w:p w:rsidR="00D33022" w:rsidRDefault="00D33022" w:rsidP="00D33022">
      <w:pPr>
        <w:pStyle w:val="a5"/>
        <w:spacing w:line="480" w:lineRule="atLeast"/>
        <w:jc w:val="both"/>
        <w:rPr>
          <w:rFonts w:hint="eastAsia"/>
          <w:color w:val="333333"/>
        </w:rPr>
      </w:pPr>
      <w:r>
        <w:rPr>
          <w:rFonts w:hint="eastAsia"/>
          <w:color w:val="333333"/>
        </w:rPr>
        <w:lastRenderedPageBreak/>
        <w:t xml:space="preserve">　　第六章 附则</w:t>
      </w:r>
    </w:p>
    <w:p w:rsidR="00D33022" w:rsidRDefault="00D33022" w:rsidP="00D33022">
      <w:pPr>
        <w:pStyle w:val="a5"/>
        <w:spacing w:line="480" w:lineRule="atLeast"/>
        <w:jc w:val="both"/>
        <w:rPr>
          <w:rFonts w:hint="eastAsia"/>
          <w:color w:val="333333"/>
        </w:rPr>
      </w:pPr>
      <w:r>
        <w:rPr>
          <w:rFonts w:hint="eastAsia"/>
          <w:color w:val="333333"/>
        </w:rPr>
        <w:t xml:space="preserve">　　第二十三条 本办法自发布之日起施行。原《福建省工程研究中心、工程实验室管理办法(试行)》(闽发改高技[2014]275号)同时废止。</w:t>
      </w:r>
    </w:p>
    <w:p w:rsidR="00D33022" w:rsidRDefault="00D33022" w:rsidP="00D33022">
      <w:pPr>
        <w:pStyle w:val="a5"/>
        <w:spacing w:line="480" w:lineRule="atLeast"/>
        <w:jc w:val="both"/>
        <w:rPr>
          <w:rFonts w:hint="eastAsia"/>
          <w:color w:val="333333"/>
        </w:rPr>
      </w:pPr>
      <w:r>
        <w:rPr>
          <w:rFonts w:hint="eastAsia"/>
          <w:color w:val="333333"/>
        </w:rPr>
        <w:t xml:space="preserve">　　第二十四条 本办法由省发改委负责解释。</w:t>
      </w:r>
    </w:p>
    <w:p w:rsidR="00D33022" w:rsidRDefault="00D33022" w:rsidP="00D33022">
      <w:pPr>
        <w:pStyle w:val="a5"/>
        <w:spacing w:line="480" w:lineRule="atLeast"/>
        <w:jc w:val="both"/>
        <w:rPr>
          <w:rFonts w:hint="eastAsia"/>
          <w:color w:val="333333"/>
        </w:rPr>
      </w:pPr>
      <w:r>
        <w:rPr>
          <w:rFonts w:hint="eastAsia"/>
          <w:color w:val="333333"/>
        </w:rPr>
        <w:t xml:space="preserve">　　附件：1.福建省工程研究中心（工程实验室）申请报告编制提纲</w:t>
      </w:r>
    </w:p>
    <w:p w:rsidR="00D33022" w:rsidRDefault="00D33022" w:rsidP="00D33022">
      <w:pPr>
        <w:pStyle w:val="a5"/>
        <w:spacing w:line="480" w:lineRule="atLeast"/>
        <w:jc w:val="both"/>
        <w:rPr>
          <w:rFonts w:hint="eastAsia"/>
          <w:color w:val="333333"/>
        </w:rPr>
      </w:pPr>
      <w:r>
        <w:rPr>
          <w:rFonts w:hint="eastAsia"/>
          <w:color w:val="333333"/>
        </w:rPr>
        <w:t xml:space="preserve">　　2.福建省工程研究中心（工程实验室）年度评价总结报告编制提纲（含数据填报表）</w:t>
      </w:r>
    </w:p>
    <w:p w:rsidR="00D33022" w:rsidRDefault="00D33022" w:rsidP="00D33022">
      <w:pPr>
        <w:pStyle w:val="a5"/>
        <w:spacing w:line="480" w:lineRule="atLeast"/>
        <w:jc w:val="both"/>
        <w:rPr>
          <w:rFonts w:hint="eastAsia"/>
          <w:color w:val="333333"/>
        </w:rPr>
      </w:pPr>
      <w:r>
        <w:rPr>
          <w:rFonts w:hint="eastAsia"/>
          <w:color w:val="333333"/>
        </w:rPr>
        <w:t xml:space="preserve">　　3.福建省工程研究中心（工程实验室）评价指标体系及评价指标说明</w:t>
      </w:r>
    </w:p>
    <w:p w:rsidR="00D33022" w:rsidRDefault="00D33022" w:rsidP="00D33022">
      <w:pPr>
        <w:pStyle w:val="a5"/>
        <w:spacing w:line="480" w:lineRule="atLeast"/>
        <w:jc w:val="both"/>
        <w:rPr>
          <w:rFonts w:hint="eastAsia"/>
          <w:color w:val="333333"/>
        </w:rPr>
      </w:pPr>
      <w:r>
        <w:rPr>
          <w:rFonts w:hint="eastAsia"/>
          <w:color w:val="333333"/>
        </w:rPr>
        <w:t xml:space="preserve">　　4.福建省工程研究中心（工程实验室）创新能力建设资金申请报告编制提纲</w:t>
      </w:r>
    </w:p>
    <w:p w:rsidR="005C1A34" w:rsidRPr="00D33022" w:rsidRDefault="005C1A34" w:rsidP="00D33022"/>
    <w:sectPr w:rsidR="005C1A34" w:rsidRPr="00D330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F6A" w:rsidRDefault="009C6F6A" w:rsidP="005C1A34">
      <w:r>
        <w:separator/>
      </w:r>
    </w:p>
  </w:endnote>
  <w:endnote w:type="continuationSeparator" w:id="1">
    <w:p w:rsidR="009C6F6A" w:rsidRDefault="009C6F6A" w:rsidP="005C1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roman"/>
    <w:pitch w:val="default"/>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F6A" w:rsidRDefault="009C6F6A" w:rsidP="005C1A34">
      <w:r>
        <w:separator/>
      </w:r>
    </w:p>
  </w:footnote>
  <w:footnote w:type="continuationSeparator" w:id="1">
    <w:p w:rsidR="009C6F6A" w:rsidRDefault="009C6F6A" w:rsidP="005C1A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81375"/>
    <w:multiLevelType w:val="multilevel"/>
    <w:tmpl w:val="485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A34"/>
    <w:rsid w:val="005C1A34"/>
    <w:rsid w:val="009C6F6A"/>
    <w:rsid w:val="00D33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C1A34"/>
    <w:pPr>
      <w:widowControl/>
      <w:spacing w:before="100" w:beforeAutospacing="1" w:after="100" w:afterAutospacing="1"/>
      <w:jc w:val="left"/>
      <w:outlineLvl w:val="2"/>
    </w:pPr>
    <w:rPr>
      <w:rFonts w:ascii="宋体" w:eastAsia="宋体" w:hAnsi="宋体" w:cs="宋体"/>
      <w:kern w:val="0"/>
      <w:szCs w:val="21"/>
    </w:rPr>
  </w:style>
  <w:style w:type="paragraph" w:styleId="4">
    <w:name w:val="heading 4"/>
    <w:basedOn w:val="a"/>
    <w:link w:val="4Char"/>
    <w:uiPriority w:val="9"/>
    <w:qFormat/>
    <w:rsid w:val="005C1A34"/>
    <w:pPr>
      <w:widowControl/>
      <w:spacing w:before="100" w:beforeAutospacing="1" w:after="100" w:afterAutospacing="1"/>
      <w:jc w:val="left"/>
      <w:outlineLvl w:val="3"/>
    </w:pPr>
    <w:rPr>
      <w:rFonts w:ascii="宋体" w:eastAsia="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1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1A34"/>
    <w:rPr>
      <w:sz w:val="18"/>
      <w:szCs w:val="18"/>
    </w:rPr>
  </w:style>
  <w:style w:type="paragraph" w:styleId="a4">
    <w:name w:val="footer"/>
    <w:basedOn w:val="a"/>
    <w:link w:val="Char0"/>
    <w:uiPriority w:val="99"/>
    <w:semiHidden/>
    <w:unhideWhenUsed/>
    <w:rsid w:val="005C1A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1A34"/>
    <w:rPr>
      <w:sz w:val="18"/>
      <w:szCs w:val="18"/>
    </w:rPr>
  </w:style>
  <w:style w:type="character" w:customStyle="1" w:styleId="3Char">
    <w:name w:val="标题 3 Char"/>
    <w:basedOn w:val="a0"/>
    <w:link w:val="3"/>
    <w:uiPriority w:val="9"/>
    <w:rsid w:val="005C1A34"/>
    <w:rPr>
      <w:rFonts w:ascii="宋体" w:eastAsia="宋体" w:hAnsi="宋体" w:cs="宋体"/>
      <w:kern w:val="0"/>
      <w:szCs w:val="21"/>
    </w:rPr>
  </w:style>
  <w:style w:type="character" w:customStyle="1" w:styleId="4Char">
    <w:name w:val="标题 4 Char"/>
    <w:basedOn w:val="a0"/>
    <w:link w:val="4"/>
    <w:uiPriority w:val="9"/>
    <w:rsid w:val="005C1A34"/>
    <w:rPr>
      <w:rFonts w:ascii="宋体" w:eastAsia="宋体" w:hAnsi="宋体" w:cs="宋体"/>
      <w:kern w:val="0"/>
      <w:szCs w:val="21"/>
    </w:rPr>
  </w:style>
  <w:style w:type="paragraph" w:styleId="a5">
    <w:name w:val="Normal (Web)"/>
    <w:basedOn w:val="a"/>
    <w:uiPriority w:val="99"/>
    <w:unhideWhenUsed/>
    <w:rsid w:val="005C1A34"/>
    <w:pPr>
      <w:widowControl/>
      <w:jc w:val="left"/>
    </w:pPr>
    <w:rPr>
      <w:rFonts w:ascii="宋体" w:eastAsia="宋体" w:hAnsi="宋体" w:cs="宋体"/>
      <w:kern w:val="0"/>
      <w:sz w:val="24"/>
      <w:szCs w:val="24"/>
    </w:rPr>
  </w:style>
  <w:style w:type="character" w:styleId="a6">
    <w:name w:val="Strong"/>
    <w:basedOn w:val="a0"/>
    <w:uiPriority w:val="22"/>
    <w:qFormat/>
    <w:rsid w:val="005C1A34"/>
    <w:rPr>
      <w:b/>
      <w:bCs/>
    </w:rPr>
  </w:style>
</w:styles>
</file>

<file path=word/webSettings.xml><?xml version="1.0" encoding="utf-8"?>
<w:webSettings xmlns:r="http://schemas.openxmlformats.org/officeDocument/2006/relationships" xmlns:w="http://schemas.openxmlformats.org/wordprocessingml/2006/main">
  <w:divs>
    <w:div w:id="732587540">
      <w:bodyDiv w:val="1"/>
      <w:marLeft w:val="0"/>
      <w:marRight w:val="0"/>
      <w:marTop w:val="0"/>
      <w:marBottom w:val="0"/>
      <w:divBdr>
        <w:top w:val="none" w:sz="0" w:space="0" w:color="auto"/>
        <w:left w:val="none" w:sz="0" w:space="0" w:color="auto"/>
        <w:bottom w:val="none" w:sz="0" w:space="0" w:color="auto"/>
        <w:right w:val="none" w:sz="0" w:space="0" w:color="auto"/>
      </w:divBdr>
      <w:divsChild>
        <w:div w:id="1311592965">
          <w:marLeft w:val="0"/>
          <w:marRight w:val="0"/>
          <w:marTop w:val="0"/>
          <w:marBottom w:val="0"/>
          <w:divBdr>
            <w:top w:val="none" w:sz="0" w:space="0" w:color="auto"/>
            <w:left w:val="none" w:sz="0" w:space="0" w:color="auto"/>
            <w:bottom w:val="none" w:sz="0" w:space="0" w:color="auto"/>
            <w:right w:val="none" w:sz="0" w:space="0" w:color="auto"/>
          </w:divBdr>
          <w:divsChild>
            <w:div w:id="1264025067">
              <w:marLeft w:val="0"/>
              <w:marRight w:val="0"/>
              <w:marTop w:val="0"/>
              <w:marBottom w:val="0"/>
              <w:divBdr>
                <w:top w:val="none" w:sz="0" w:space="0" w:color="auto"/>
                <w:left w:val="none" w:sz="0" w:space="0" w:color="auto"/>
                <w:bottom w:val="none" w:sz="0" w:space="0" w:color="auto"/>
                <w:right w:val="none" w:sz="0" w:space="0" w:color="auto"/>
              </w:divBdr>
              <w:divsChild>
                <w:div w:id="1159618495">
                  <w:marLeft w:val="0"/>
                  <w:marRight w:val="0"/>
                  <w:marTop w:val="0"/>
                  <w:marBottom w:val="0"/>
                  <w:divBdr>
                    <w:top w:val="none" w:sz="0" w:space="0" w:color="auto"/>
                    <w:left w:val="none" w:sz="0" w:space="0" w:color="auto"/>
                    <w:bottom w:val="none" w:sz="0" w:space="0" w:color="auto"/>
                    <w:right w:val="none" w:sz="0" w:space="0" w:color="auto"/>
                  </w:divBdr>
                  <w:divsChild>
                    <w:div w:id="1340621503">
                      <w:marLeft w:val="0"/>
                      <w:marRight w:val="0"/>
                      <w:marTop w:val="0"/>
                      <w:marBottom w:val="0"/>
                      <w:divBdr>
                        <w:top w:val="single" w:sz="6" w:space="31" w:color="D6D6D6"/>
                        <w:left w:val="single" w:sz="6" w:space="31" w:color="D6D6D6"/>
                        <w:bottom w:val="single" w:sz="6" w:space="0" w:color="D6D6D6"/>
                        <w:right w:val="single" w:sz="6" w:space="31" w:color="D6D6D6"/>
                      </w:divBdr>
                      <w:divsChild>
                        <w:div w:id="1703283338">
                          <w:marLeft w:val="0"/>
                          <w:marRight w:val="0"/>
                          <w:marTop w:val="0"/>
                          <w:marBottom w:val="0"/>
                          <w:divBdr>
                            <w:top w:val="none" w:sz="0" w:space="0" w:color="auto"/>
                            <w:left w:val="none" w:sz="0" w:space="0" w:color="auto"/>
                            <w:bottom w:val="none" w:sz="0" w:space="0" w:color="auto"/>
                            <w:right w:val="none" w:sz="0" w:space="0" w:color="auto"/>
                          </w:divBdr>
                          <w:divsChild>
                            <w:div w:id="4614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3445">
      <w:bodyDiv w:val="1"/>
      <w:marLeft w:val="0"/>
      <w:marRight w:val="0"/>
      <w:marTop w:val="0"/>
      <w:marBottom w:val="0"/>
      <w:divBdr>
        <w:top w:val="none" w:sz="0" w:space="0" w:color="auto"/>
        <w:left w:val="none" w:sz="0" w:space="0" w:color="auto"/>
        <w:bottom w:val="none" w:sz="0" w:space="0" w:color="auto"/>
        <w:right w:val="none" w:sz="0" w:space="0" w:color="auto"/>
      </w:divBdr>
      <w:divsChild>
        <w:div w:id="808671119">
          <w:marLeft w:val="0"/>
          <w:marRight w:val="0"/>
          <w:marTop w:val="0"/>
          <w:marBottom w:val="0"/>
          <w:divBdr>
            <w:top w:val="none" w:sz="0" w:space="0" w:color="auto"/>
            <w:left w:val="none" w:sz="0" w:space="0" w:color="auto"/>
            <w:bottom w:val="none" w:sz="0" w:space="0" w:color="auto"/>
            <w:right w:val="none" w:sz="0" w:space="0" w:color="auto"/>
          </w:divBdr>
          <w:divsChild>
            <w:div w:id="699167036">
              <w:marLeft w:val="0"/>
              <w:marRight w:val="0"/>
              <w:marTop w:val="0"/>
              <w:marBottom w:val="0"/>
              <w:divBdr>
                <w:top w:val="none" w:sz="0" w:space="0" w:color="auto"/>
                <w:left w:val="none" w:sz="0" w:space="0" w:color="auto"/>
                <w:bottom w:val="none" w:sz="0" w:space="0" w:color="auto"/>
                <w:right w:val="none" w:sz="0" w:space="0" w:color="auto"/>
              </w:divBdr>
              <w:divsChild>
                <w:div w:id="1110051261">
                  <w:marLeft w:val="0"/>
                  <w:marRight w:val="0"/>
                  <w:marTop w:val="0"/>
                  <w:marBottom w:val="0"/>
                  <w:divBdr>
                    <w:top w:val="none" w:sz="0" w:space="0" w:color="auto"/>
                    <w:left w:val="none" w:sz="0" w:space="0" w:color="auto"/>
                    <w:bottom w:val="none" w:sz="0" w:space="0" w:color="auto"/>
                    <w:right w:val="none" w:sz="0" w:space="0" w:color="auto"/>
                  </w:divBdr>
                  <w:divsChild>
                    <w:div w:id="374895953">
                      <w:marLeft w:val="0"/>
                      <w:marRight w:val="0"/>
                      <w:marTop w:val="0"/>
                      <w:marBottom w:val="0"/>
                      <w:divBdr>
                        <w:top w:val="single" w:sz="6" w:space="31" w:color="D6D6D6"/>
                        <w:left w:val="single" w:sz="6" w:space="31" w:color="D6D6D6"/>
                        <w:bottom w:val="single" w:sz="6" w:space="0" w:color="D6D6D6"/>
                        <w:right w:val="single" w:sz="6" w:space="31" w:color="D6D6D6"/>
                      </w:divBdr>
                      <w:divsChild>
                        <w:div w:id="2146265469">
                          <w:marLeft w:val="0"/>
                          <w:marRight w:val="0"/>
                          <w:marTop w:val="0"/>
                          <w:marBottom w:val="0"/>
                          <w:divBdr>
                            <w:top w:val="none" w:sz="0" w:space="0" w:color="auto"/>
                            <w:left w:val="none" w:sz="0" w:space="0" w:color="auto"/>
                            <w:bottom w:val="none" w:sz="0" w:space="0" w:color="auto"/>
                            <w:right w:val="none" w:sz="0" w:space="0" w:color="auto"/>
                          </w:divBdr>
                          <w:divsChild>
                            <w:div w:id="17870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4928">
      <w:bodyDiv w:val="1"/>
      <w:marLeft w:val="0"/>
      <w:marRight w:val="0"/>
      <w:marTop w:val="0"/>
      <w:marBottom w:val="0"/>
      <w:divBdr>
        <w:top w:val="none" w:sz="0" w:space="0" w:color="auto"/>
        <w:left w:val="none" w:sz="0" w:space="0" w:color="auto"/>
        <w:bottom w:val="none" w:sz="0" w:space="0" w:color="auto"/>
        <w:right w:val="none" w:sz="0" w:space="0" w:color="auto"/>
      </w:divBdr>
      <w:divsChild>
        <w:div w:id="937374171">
          <w:marLeft w:val="0"/>
          <w:marRight w:val="0"/>
          <w:marTop w:val="0"/>
          <w:marBottom w:val="0"/>
          <w:divBdr>
            <w:top w:val="none" w:sz="0" w:space="0" w:color="auto"/>
            <w:left w:val="none" w:sz="0" w:space="0" w:color="auto"/>
            <w:bottom w:val="none" w:sz="0" w:space="0" w:color="auto"/>
            <w:right w:val="none" w:sz="0" w:space="0" w:color="auto"/>
          </w:divBdr>
          <w:divsChild>
            <w:div w:id="1939752576">
              <w:marLeft w:val="0"/>
              <w:marRight w:val="0"/>
              <w:marTop w:val="0"/>
              <w:marBottom w:val="0"/>
              <w:divBdr>
                <w:top w:val="none" w:sz="0" w:space="0" w:color="auto"/>
                <w:left w:val="none" w:sz="0" w:space="0" w:color="auto"/>
                <w:bottom w:val="none" w:sz="0" w:space="0" w:color="auto"/>
                <w:right w:val="none" w:sz="0" w:space="0" w:color="auto"/>
              </w:divBdr>
              <w:divsChild>
                <w:div w:id="1818372138">
                  <w:marLeft w:val="0"/>
                  <w:marRight w:val="0"/>
                  <w:marTop w:val="0"/>
                  <w:marBottom w:val="0"/>
                  <w:divBdr>
                    <w:top w:val="none" w:sz="0" w:space="0" w:color="auto"/>
                    <w:left w:val="none" w:sz="0" w:space="0" w:color="auto"/>
                    <w:bottom w:val="none" w:sz="0" w:space="0" w:color="auto"/>
                    <w:right w:val="none" w:sz="0" w:space="0" w:color="auto"/>
                  </w:divBdr>
                  <w:divsChild>
                    <w:div w:id="241111581">
                      <w:marLeft w:val="0"/>
                      <w:marRight w:val="0"/>
                      <w:marTop w:val="0"/>
                      <w:marBottom w:val="0"/>
                      <w:divBdr>
                        <w:top w:val="single" w:sz="6" w:space="31" w:color="D6D6D6"/>
                        <w:left w:val="single" w:sz="6" w:space="31" w:color="D6D6D6"/>
                        <w:bottom w:val="single" w:sz="6" w:space="0" w:color="D6D6D6"/>
                        <w:right w:val="single" w:sz="6" w:space="31" w:color="D6D6D6"/>
                      </w:divBdr>
                      <w:divsChild>
                        <w:div w:id="1320813359">
                          <w:marLeft w:val="0"/>
                          <w:marRight w:val="0"/>
                          <w:marTop w:val="0"/>
                          <w:marBottom w:val="0"/>
                          <w:divBdr>
                            <w:top w:val="none" w:sz="0" w:space="0" w:color="auto"/>
                            <w:left w:val="none" w:sz="0" w:space="0" w:color="auto"/>
                            <w:bottom w:val="none" w:sz="0" w:space="0" w:color="auto"/>
                            <w:right w:val="none" w:sz="0" w:space="0" w:color="auto"/>
                          </w:divBdr>
                          <w:divsChild>
                            <w:div w:id="1943567836">
                              <w:marLeft w:val="0"/>
                              <w:marRight w:val="0"/>
                              <w:marTop w:val="0"/>
                              <w:marBottom w:val="0"/>
                              <w:divBdr>
                                <w:top w:val="none" w:sz="0" w:space="0" w:color="auto"/>
                                <w:left w:val="none" w:sz="0" w:space="0" w:color="auto"/>
                                <w:bottom w:val="none" w:sz="0" w:space="0" w:color="auto"/>
                                <w:right w:val="none" w:sz="0" w:space="0" w:color="auto"/>
                              </w:divBdr>
                              <w:divsChild>
                                <w:div w:id="52697710">
                                  <w:marLeft w:val="0"/>
                                  <w:marRight w:val="0"/>
                                  <w:marTop w:val="0"/>
                                  <w:marBottom w:val="300"/>
                                  <w:divBdr>
                                    <w:top w:val="none" w:sz="0" w:space="0" w:color="auto"/>
                                    <w:left w:val="none" w:sz="0" w:space="0" w:color="auto"/>
                                    <w:bottom w:val="none" w:sz="0" w:space="0" w:color="auto"/>
                                    <w:right w:val="none" w:sz="0" w:space="0" w:color="auto"/>
                                  </w:divBdr>
                                  <w:divsChild>
                                    <w:div w:id="13879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4008">
                              <w:marLeft w:val="0"/>
                              <w:marRight w:val="0"/>
                              <w:marTop w:val="0"/>
                              <w:marBottom w:val="0"/>
                              <w:divBdr>
                                <w:top w:val="none" w:sz="0" w:space="0" w:color="auto"/>
                                <w:left w:val="none" w:sz="0" w:space="0" w:color="auto"/>
                                <w:bottom w:val="none" w:sz="0" w:space="0" w:color="auto"/>
                                <w:right w:val="none" w:sz="0" w:space="0" w:color="auto"/>
                              </w:divBdr>
                              <w:divsChild>
                                <w:div w:id="846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0856">
                          <w:marLeft w:val="0"/>
                          <w:marRight w:val="0"/>
                          <w:marTop w:val="7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81252">
      <w:bodyDiv w:val="1"/>
      <w:marLeft w:val="0"/>
      <w:marRight w:val="0"/>
      <w:marTop w:val="0"/>
      <w:marBottom w:val="0"/>
      <w:divBdr>
        <w:top w:val="none" w:sz="0" w:space="0" w:color="auto"/>
        <w:left w:val="none" w:sz="0" w:space="0" w:color="auto"/>
        <w:bottom w:val="none" w:sz="0" w:space="0" w:color="auto"/>
        <w:right w:val="none" w:sz="0" w:space="0" w:color="auto"/>
      </w:divBdr>
      <w:divsChild>
        <w:div w:id="1653604581">
          <w:marLeft w:val="0"/>
          <w:marRight w:val="0"/>
          <w:marTop w:val="0"/>
          <w:marBottom w:val="0"/>
          <w:divBdr>
            <w:top w:val="none" w:sz="0" w:space="0" w:color="auto"/>
            <w:left w:val="none" w:sz="0" w:space="0" w:color="auto"/>
            <w:bottom w:val="none" w:sz="0" w:space="0" w:color="auto"/>
            <w:right w:val="none" w:sz="0" w:space="0" w:color="auto"/>
          </w:divBdr>
          <w:divsChild>
            <w:div w:id="644312318">
              <w:marLeft w:val="0"/>
              <w:marRight w:val="0"/>
              <w:marTop w:val="0"/>
              <w:marBottom w:val="0"/>
              <w:divBdr>
                <w:top w:val="none" w:sz="0" w:space="0" w:color="auto"/>
                <w:left w:val="none" w:sz="0" w:space="0" w:color="auto"/>
                <w:bottom w:val="none" w:sz="0" w:space="0" w:color="auto"/>
                <w:right w:val="none" w:sz="0" w:space="0" w:color="auto"/>
              </w:divBdr>
              <w:divsChild>
                <w:div w:id="1458597663">
                  <w:marLeft w:val="0"/>
                  <w:marRight w:val="0"/>
                  <w:marTop w:val="0"/>
                  <w:marBottom w:val="0"/>
                  <w:divBdr>
                    <w:top w:val="none" w:sz="0" w:space="0" w:color="auto"/>
                    <w:left w:val="none" w:sz="0" w:space="0" w:color="auto"/>
                    <w:bottom w:val="none" w:sz="0" w:space="0" w:color="auto"/>
                    <w:right w:val="none" w:sz="0" w:space="0" w:color="auto"/>
                  </w:divBdr>
                  <w:divsChild>
                    <w:div w:id="991518702">
                      <w:marLeft w:val="0"/>
                      <w:marRight w:val="0"/>
                      <w:marTop w:val="0"/>
                      <w:marBottom w:val="0"/>
                      <w:divBdr>
                        <w:top w:val="single" w:sz="6" w:space="31" w:color="D6D6D6"/>
                        <w:left w:val="single" w:sz="6" w:space="31" w:color="D6D6D6"/>
                        <w:bottom w:val="single" w:sz="6" w:space="0" w:color="D6D6D6"/>
                        <w:right w:val="single" w:sz="6" w:space="31" w:color="D6D6D6"/>
                      </w:divBdr>
                      <w:divsChild>
                        <w:div w:id="63070857">
                          <w:marLeft w:val="0"/>
                          <w:marRight w:val="0"/>
                          <w:marTop w:val="0"/>
                          <w:marBottom w:val="0"/>
                          <w:divBdr>
                            <w:top w:val="none" w:sz="0" w:space="0" w:color="auto"/>
                            <w:left w:val="none" w:sz="0" w:space="0" w:color="auto"/>
                            <w:bottom w:val="none" w:sz="0" w:space="0" w:color="auto"/>
                            <w:right w:val="none" w:sz="0" w:space="0" w:color="auto"/>
                          </w:divBdr>
                          <w:divsChild>
                            <w:div w:id="1117211423">
                              <w:marLeft w:val="0"/>
                              <w:marRight w:val="0"/>
                              <w:marTop w:val="0"/>
                              <w:marBottom w:val="0"/>
                              <w:divBdr>
                                <w:top w:val="none" w:sz="0" w:space="0" w:color="auto"/>
                                <w:left w:val="none" w:sz="0" w:space="0" w:color="auto"/>
                                <w:bottom w:val="none" w:sz="0" w:space="0" w:color="auto"/>
                                <w:right w:val="none" w:sz="0" w:space="0" w:color="auto"/>
                              </w:divBdr>
                              <w:divsChild>
                                <w:div w:id="170412936">
                                  <w:marLeft w:val="0"/>
                                  <w:marRight w:val="0"/>
                                  <w:marTop w:val="0"/>
                                  <w:marBottom w:val="300"/>
                                  <w:divBdr>
                                    <w:top w:val="none" w:sz="0" w:space="0" w:color="auto"/>
                                    <w:left w:val="none" w:sz="0" w:space="0" w:color="auto"/>
                                    <w:bottom w:val="none" w:sz="0" w:space="0" w:color="auto"/>
                                    <w:right w:val="none" w:sz="0" w:space="0" w:color="auto"/>
                                  </w:divBdr>
                                  <w:divsChild>
                                    <w:div w:id="15157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608</Words>
  <Characters>3468</Characters>
  <Application>Microsoft Office Word</Application>
  <DocSecurity>0</DocSecurity>
  <Lines>28</Lines>
  <Paragraphs>8</Paragraphs>
  <ScaleCrop>false</ScaleCrop>
  <Company>神州网信技术有限公司</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魏纯辉</dc:creator>
  <cp:keywords/>
  <dc:description/>
  <cp:lastModifiedBy>魏纯辉</cp:lastModifiedBy>
  <cp:revision>3</cp:revision>
  <dcterms:created xsi:type="dcterms:W3CDTF">2020-01-06T03:18:00Z</dcterms:created>
  <dcterms:modified xsi:type="dcterms:W3CDTF">2020-01-06T03:21:00Z</dcterms:modified>
</cp:coreProperties>
</file>