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pacing w:val="-8"/>
          <w:sz w:val="18"/>
          <w:szCs w:val="18"/>
        </w:rPr>
        <w:t>附件1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4"/>
          <w:rFonts w:ascii="仿宋_GB2312" w:eastAsia="仿宋_GB2312" w:hAnsi="微软雅黑" w:hint="eastAsia"/>
          <w:color w:val="000000"/>
          <w:spacing w:val="-8"/>
          <w:sz w:val="20"/>
          <w:szCs w:val="20"/>
        </w:rPr>
        <w:t>2021年度福建省社会科学基金重大项目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4"/>
          <w:rFonts w:ascii="仿宋_GB2312" w:eastAsia="仿宋_GB2312" w:hAnsi="微软雅黑" w:hint="eastAsia"/>
          <w:color w:val="000000"/>
          <w:spacing w:val="-8"/>
          <w:sz w:val="20"/>
          <w:szCs w:val="20"/>
        </w:rPr>
        <w:t>（第二批）课题指南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2" w:lineRule="atLeast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Style w:val="a4"/>
          <w:rFonts w:ascii="仿宋_GB2312" w:eastAsia="仿宋_GB2312" w:hAnsi="微软雅黑" w:hint="eastAsia"/>
          <w:color w:val="000000"/>
          <w:sz w:val="18"/>
          <w:szCs w:val="18"/>
        </w:rPr>
        <w:t> 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选题一、加快建设现代化经济体系上取得更大进步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1.提升福建产业</w:t>
      </w:r>
      <w:proofErr w:type="gramStart"/>
      <w:r>
        <w:rPr>
          <w:rFonts w:ascii="仿宋_GB2312" w:eastAsia="仿宋_GB2312" w:hAnsi="微软雅黑" w:hint="eastAsia"/>
          <w:color w:val="000000"/>
          <w:sz w:val="18"/>
          <w:szCs w:val="18"/>
        </w:rPr>
        <w:t>链供应链水平</w:t>
      </w:r>
      <w:proofErr w:type="gramEnd"/>
      <w:r>
        <w:rPr>
          <w:rFonts w:ascii="仿宋_GB2312" w:eastAsia="仿宋_GB2312" w:hAnsi="微软雅黑" w:hint="eastAsia"/>
          <w:color w:val="000000"/>
          <w:sz w:val="18"/>
          <w:szCs w:val="18"/>
        </w:rPr>
        <w:t>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2.优化提升福建产业结构研究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3.推动福建形成多元发展、多点支撑产业发展格局研究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4.关于加快推动福建数字产业化和数字化研究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5.关于推动福建数字经济和实体经济深度融合研究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6.关于壮大福建海洋新兴产业研究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7.关于强化福建海洋生态保护路径研究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选题二、服务和融入新发展格局上展现更大作为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8.实现高水平自立自强研究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9.构建国内国际双循环的重要节点研究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10.建设高水平开放型经济新体制研究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11.发挥福建优势优化创新生态环境研究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12.发挥福建优势推进产业科技金融人才协同发展研究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选题三、探索海峡两岸融合发展新路上迈出更大步伐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13.关于发挥海峡两岸融合发展示范区功能研究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14.关于加强闽台基层和青少年交流研究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15.关于加强两岸新媒体合作传播研究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16.关于推动两岸文化旅游产业融合发展研究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17.关于打造文化领域</w:t>
      </w:r>
      <w:proofErr w:type="gramStart"/>
      <w:r>
        <w:rPr>
          <w:rFonts w:ascii="仿宋_GB2312" w:eastAsia="仿宋_GB2312" w:hAnsi="微软雅黑" w:hint="eastAsia"/>
          <w:color w:val="000000"/>
          <w:sz w:val="18"/>
          <w:szCs w:val="18"/>
        </w:rPr>
        <w:t>台胞台</w:t>
      </w:r>
      <w:proofErr w:type="gramEnd"/>
      <w:r>
        <w:rPr>
          <w:rFonts w:ascii="仿宋_GB2312" w:eastAsia="仿宋_GB2312" w:hAnsi="微软雅黑" w:hint="eastAsia"/>
          <w:color w:val="000000"/>
          <w:sz w:val="18"/>
          <w:szCs w:val="18"/>
        </w:rPr>
        <w:t>企登陆“第一家园”研究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选题四、创造高品质生活上实现更大突破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18.加快健全福建多层次社会保障体系研究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19.提高应对重大突发公共卫生事件能力研究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20.持之以恒抓好食品安全工作研究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21.完善社会矛盾纠纷多元预防调处化解综合机制研究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22.关于统筹职业教育、高等教育、继续教育协调发展研究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23.习近平总书记关于“不求最大，但求最优，但求适应社会需要”的重要论述研究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选题五、加快乡村振兴方面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24.关于实现福建农村一二三产业融合发展研究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25.继续完善福建科技特派员制度实现科技兴农研究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26.关于实施福建乡村振兴行动研究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27.关于</w:t>
      </w:r>
      <w:proofErr w:type="gramStart"/>
      <w:r>
        <w:rPr>
          <w:rFonts w:ascii="仿宋_GB2312" w:eastAsia="仿宋_GB2312" w:hAnsi="微软雅黑" w:hint="eastAsia"/>
          <w:color w:val="000000"/>
          <w:sz w:val="18"/>
          <w:szCs w:val="18"/>
        </w:rPr>
        <w:t>把碳达</w:t>
      </w:r>
      <w:proofErr w:type="gramEnd"/>
      <w:r>
        <w:rPr>
          <w:rFonts w:ascii="仿宋_GB2312" w:eastAsia="仿宋_GB2312" w:hAnsi="微软雅黑" w:hint="eastAsia"/>
          <w:color w:val="000000"/>
          <w:sz w:val="18"/>
          <w:szCs w:val="18"/>
        </w:rPr>
        <w:t>峰、碳中和纳入福建</w:t>
      </w:r>
      <w:proofErr w:type="gramStart"/>
      <w:r>
        <w:rPr>
          <w:rFonts w:ascii="仿宋_GB2312" w:eastAsia="仿宋_GB2312" w:hAnsi="微软雅黑" w:hint="eastAsia"/>
          <w:color w:val="000000"/>
          <w:sz w:val="18"/>
          <w:szCs w:val="18"/>
        </w:rPr>
        <w:t>生态省</w:t>
      </w:r>
      <w:proofErr w:type="gramEnd"/>
      <w:r>
        <w:rPr>
          <w:rFonts w:ascii="仿宋_GB2312" w:eastAsia="仿宋_GB2312" w:hAnsi="微软雅黑" w:hint="eastAsia"/>
          <w:color w:val="000000"/>
          <w:sz w:val="18"/>
          <w:szCs w:val="18"/>
        </w:rPr>
        <w:t>建设布局研究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28.关于深化集体林权制度创新研究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29.提高福建城乡基本公共服务均等化水平研究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30.关于注重保护传统村落建设宜</w:t>
      </w:r>
      <w:proofErr w:type="gramStart"/>
      <w:r>
        <w:rPr>
          <w:rFonts w:ascii="仿宋_GB2312" w:eastAsia="仿宋_GB2312" w:hAnsi="微软雅黑" w:hint="eastAsia"/>
          <w:color w:val="000000"/>
          <w:sz w:val="18"/>
          <w:szCs w:val="18"/>
        </w:rPr>
        <w:t>居宜业美丽</w:t>
      </w:r>
      <w:proofErr w:type="gramEnd"/>
      <w:r>
        <w:rPr>
          <w:rFonts w:ascii="仿宋_GB2312" w:eastAsia="仿宋_GB2312" w:hAnsi="微软雅黑" w:hint="eastAsia"/>
          <w:color w:val="000000"/>
          <w:sz w:val="18"/>
          <w:szCs w:val="18"/>
        </w:rPr>
        <w:t>乡村研究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选题六、党史学习教育方面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31.关于发挥福建特色优势推动党史学习教育不断取得新成效研究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32.关于在党史学习教育中做到学史明理研究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33.关于着力</w:t>
      </w:r>
      <w:proofErr w:type="gramStart"/>
      <w:r>
        <w:rPr>
          <w:rFonts w:ascii="仿宋_GB2312" w:eastAsia="仿宋_GB2312" w:hAnsi="微软雅黑" w:hint="eastAsia"/>
          <w:color w:val="000000"/>
          <w:sz w:val="18"/>
          <w:szCs w:val="18"/>
        </w:rPr>
        <w:t>固根铸魂不断</w:t>
      </w:r>
      <w:proofErr w:type="gramEnd"/>
      <w:r>
        <w:rPr>
          <w:rFonts w:ascii="仿宋_GB2312" w:eastAsia="仿宋_GB2312" w:hAnsi="微软雅黑" w:hint="eastAsia"/>
          <w:color w:val="000000"/>
          <w:sz w:val="18"/>
          <w:szCs w:val="18"/>
        </w:rPr>
        <w:t>提高政治判断力、政治领悟力、政治执行力研究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34.关于坚持中国共产党领导的必然性研究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lastRenderedPageBreak/>
        <w:t>35.关于马克思主义及其中国化创新理论的真理性研究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36.关于中国特色社会主义道路正确性研究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选题七、优秀传统历史文化方面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37.推动朱子文化在新时代创造性转化、创新性发展研究</w:t>
      </w:r>
      <w:r>
        <w:rPr>
          <w:rFonts w:ascii="仿宋_GB2312" w:eastAsia="仿宋_GB2312" w:hAnsi="微软雅黑" w:hint="eastAsia"/>
          <w:color w:val="000000"/>
          <w:sz w:val="18"/>
          <w:szCs w:val="18"/>
        </w:rPr>
        <w:t> 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38.朱子文化精华与新时代精神相结合研究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39.严复思想的历史贡献与当代价值研究</w:t>
      </w:r>
    </w:p>
    <w:p w:rsidR="009865BF" w:rsidRDefault="009865BF" w:rsidP="009865BF">
      <w:pPr>
        <w:pStyle w:val="a3"/>
        <w:shd w:val="clear" w:color="auto" w:fill="FFFFFF"/>
        <w:spacing w:before="0" w:beforeAutospacing="0" w:after="0" w:afterAutospacing="0" w:line="11" w:lineRule="atLeast"/>
        <w:ind w:firstLine="358"/>
        <w:textAlignment w:val="baseline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18"/>
          <w:szCs w:val="18"/>
        </w:rPr>
        <w:t>40.福建旧城改造与保护历史文脉研究</w:t>
      </w:r>
    </w:p>
    <w:p w:rsidR="00841D18" w:rsidRPr="009865BF" w:rsidRDefault="00841D18"/>
    <w:sectPr w:rsidR="00841D18" w:rsidRPr="009865BF" w:rsidSect="00841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5BF"/>
    <w:rsid w:val="00841D18"/>
    <w:rsid w:val="0098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865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JMDX</dc:creator>
  <cp:lastModifiedBy>JMDX</cp:lastModifiedBy>
  <cp:revision>1</cp:revision>
  <dcterms:created xsi:type="dcterms:W3CDTF">2021-04-15T01:11:00Z</dcterms:created>
  <dcterms:modified xsi:type="dcterms:W3CDTF">2021-04-15T01:11:00Z</dcterms:modified>
</cp:coreProperties>
</file>