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before="312" w:beforeLines="100" w:after="312" w:afterLines="10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年人才咨政工作的通知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各位专家、各位人才：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认真</w:t>
      </w:r>
      <w:r>
        <w:rPr>
          <w:rFonts w:hint="eastAsia" w:ascii="仿宋_GB2312" w:hAnsi="黑体" w:eastAsia="仿宋_GB2312"/>
          <w:sz w:val="32"/>
          <w:szCs w:val="32"/>
        </w:rPr>
        <w:t>贯彻落实中央和省委、市委人才工作会议精神，深入实施新时代人才强市战略，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鼓励广大专家人才为我市全方位推动高质量发展超越建言献策</w:t>
      </w:r>
      <w:r>
        <w:rPr>
          <w:rFonts w:hint="eastAsia" w:ascii="仿宋_GB2312" w:hAnsi="黑体" w:eastAsia="仿宋_GB2312"/>
          <w:sz w:val="32"/>
          <w:szCs w:val="32"/>
        </w:rPr>
        <w:t>，现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就开展</w:t>
      </w: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年人才咨政工作通知如下：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一、咨政内容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以习近平新时代中国特色社会主义思想为指导，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深入贯彻</w:t>
      </w:r>
      <w:r>
        <w:rPr>
          <w:rFonts w:hint="eastAsia" w:ascii="仿宋_GB2312" w:hAnsi="黑体" w:eastAsia="仿宋_GB2312"/>
          <w:sz w:val="32"/>
          <w:szCs w:val="32"/>
        </w:rPr>
        <w:t>习近平总书记来闽考察重要讲话精神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、致厦门经济特区建设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40周年贺信重要精神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黑体" w:eastAsia="仿宋_GB2312"/>
          <w:sz w:val="32"/>
          <w:szCs w:val="32"/>
        </w:rPr>
        <w:t>新时代人才工作的新理念新战略新举措，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围绕着</w:t>
      </w:r>
      <w:r>
        <w:rPr>
          <w:rFonts w:hint="eastAsia" w:ascii="仿宋_GB2312" w:hAnsi="黑体" w:eastAsia="仿宋_GB2312"/>
          <w:sz w:val="32"/>
          <w:szCs w:val="32"/>
        </w:rPr>
        <w:t>关系全市发展的全局性、战略性、前瞻性问题，聚焦我市产业转型、社会发展中的热点问题，鼓励人才发挥所学所长，从厦门实际出发，借鉴先进地区经验，有针对性地开展咨政建言。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我办</w:t>
      </w:r>
      <w:r>
        <w:rPr>
          <w:rFonts w:hint="eastAsia" w:ascii="仿宋_GB2312" w:hAnsi="黑体" w:eastAsia="仿宋_GB2312"/>
          <w:sz w:val="32"/>
          <w:szCs w:val="32"/>
        </w:rPr>
        <w:t>梳理出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以下</w:t>
      </w:r>
      <w:r>
        <w:rPr>
          <w:rFonts w:hint="eastAsia" w:ascii="仿宋_GB2312" w:hAnsi="黑体" w:eastAsia="仿宋_GB2312"/>
          <w:sz w:val="32"/>
          <w:szCs w:val="32"/>
        </w:rPr>
        <w:t>10个咨政课题研究选题，供专家人才参考。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专家人才也可</w:t>
      </w:r>
      <w:r>
        <w:rPr>
          <w:rFonts w:hint="eastAsia" w:ascii="仿宋_GB2312" w:hAnsi="黑体" w:eastAsia="仿宋_GB2312"/>
          <w:sz w:val="32"/>
          <w:szCs w:val="32"/>
        </w:rPr>
        <w:t>围绕社会关注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、百姓关切</w:t>
      </w:r>
      <w:r>
        <w:rPr>
          <w:rFonts w:hint="eastAsia" w:ascii="仿宋_GB2312" w:hAnsi="黑体" w:eastAsia="仿宋_GB2312"/>
          <w:sz w:val="32"/>
          <w:szCs w:val="32"/>
        </w:rPr>
        <w:t>的焦点问题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以及</w:t>
      </w:r>
      <w:r>
        <w:rPr>
          <w:rFonts w:hint="eastAsia" w:ascii="仿宋_GB2312" w:hAnsi="黑体" w:eastAsia="仿宋_GB2312"/>
          <w:sz w:val="32"/>
          <w:szCs w:val="32"/>
        </w:rPr>
        <w:t>创新创业中遇到的共性问题等自主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确定</w:t>
      </w:r>
      <w:r>
        <w:rPr>
          <w:rFonts w:hint="eastAsia" w:ascii="仿宋_GB2312" w:hAnsi="黑体" w:eastAsia="仿宋_GB2312"/>
          <w:sz w:val="32"/>
          <w:szCs w:val="32"/>
        </w:rPr>
        <w:t>咨政课题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</w:rPr>
        <w:t>具体要求</w:t>
      </w:r>
    </w:p>
    <w:p>
      <w:pPr>
        <w:widowControl w:val="0"/>
        <w:wordWrap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黑体" w:eastAsia="仿宋_GB2312"/>
          <w:sz w:val="36"/>
          <w:szCs w:val="36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1.广泛发动参与。</w:t>
      </w:r>
      <w:r>
        <w:rPr>
          <w:rFonts w:hint="eastAsia" w:ascii="仿宋_GB2312" w:hAnsi="黑体" w:eastAsia="仿宋_GB2312"/>
          <w:sz w:val="32"/>
          <w:szCs w:val="32"/>
        </w:rPr>
        <w:t>鼓励各行各业专家人才积极参与咨政活动，可由专家人才个人参与，也可组建咨政小组开展调研咨政，支持院士、国家级人才开展重点咨政，市、区组织部门将为人才调研提供帮助。</w:t>
      </w:r>
    </w:p>
    <w:p>
      <w:pPr>
        <w:widowControl w:val="0"/>
        <w:wordWrap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2.精选咨政主题。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要求主题</w:t>
      </w:r>
      <w:r>
        <w:rPr>
          <w:rFonts w:hint="eastAsia" w:ascii="仿宋_GB2312" w:hAnsi="黑体" w:eastAsia="仿宋_GB2312"/>
          <w:sz w:val="32"/>
          <w:szCs w:val="32"/>
        </w:rPr>
        <w:t>鲜明、站位高、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视野新，</w:t>
      </w:r>
      <w:r>
        <w:rPr>
          <w:rFonts w:hint="eastAsia" w:ascii="仿宋_GB2312" w:hAnsi="黑体" w:eastAsia="仿宋_GB2312"/>
          <w:sz w:val="32"/>
          <w:szCs w:val="32"/>
        </w:rPr>
        <w:t>所提建议措施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具有时效性、针对性和可操作性</w:t>
      </w:r>
      <w:r>
        <w:rPr>
          <w:rFonts w:hint="eastAsia" w:ascii="仿宋_GB2312" w:hAnsi="黑体" w:eastAsia="仿宋_GB2312"/>
          <w:sz w:val="32"/>
          <w:szCs w:val="32"/>
        </w:rPr>
        <w:t>。咨政报告篇幅一般在3000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～</w:t>
      </w:r>
      <w:r>
        <w:rPr>
          <w:rFonts w:hint="eastAsia" w:ascii="仿宋_GB2312" w:hAnsi="黑体" w:eastAsia="仿宋_GB2312"/>
          <w:sz w:val="32"/>
          <w:szCs w:val="32"/>
        </w:rPr>
        <w:t>8000字。</w:t>
      </w:r>
    </w:p>
    <w:p>
      <w:pPr>
        <w:widowControl w:val="0"/>
        <w:wordWrap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黑体" w:eastAsia="仿宋_GB2312"/>
          <w:color w:val="000000"/>
          <w:sz w:val="36"/>
          <w:szCs w:val="36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3.拓展咨政形式。</w:t>
      </w:r>
      <w:r>
        <w:rPr>
          <w:rFonts w:hint="eastAsia" w:ascii="仿宋_GB2312" w:hAnsi="黑体" w:eastAsia="仿宋_GB2312"/>
          <w:sz w:val="32"/>
          <w:szCs w:val="32"/>
        </w:rPr>
        <w:t>依托专家人才专题培训班、国情研修等活动，召开座谈研讨会，征集专家人才的意见建议。充分发挥高层次人才协会作用，经常性组织白鹭英才产业行活动，组织人才实地走访调研，围绕产业升级、企业转型、政府服务等建言献策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其他事项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1.征集到的咨政报告将择优汇编成册，呈报市委、市政府，并转相关部门吸纳落实。咨政成果还将作为推荐人才评先评优的重要参考。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2.落实咨政建言奖励机制，对形成较高质量人才咨政建言报告的，给予适当费用资助，并颁发荣誉证书，以资鼓励。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黑体" w:eastAsia="仿宋_GB2312"/>
          <w:color w:val="000000"/>
          <w:sz w:val="36"/>
          <w:szCs w:val="36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市委人才办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黑体" w:eastAsia="仿宋_GB2312"/>
          <w:sz w:val="32"/>
          <w:szCs w:val="32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>
      <w:pPr>
        <w:widowControl w:val="0"/>
        <w:wordWrap/>
        <w:adjustRightInd/>
        <w:snapToGrid/>
        <w:spacing w:before="312" w:beforeLines="100" w:after="312" w:afterLines="10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</w:rPr>
        <w:t>年专家人才咨政课题研究选题参考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1.打造国际一流营商环境的建议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2.加快推进岛内外一体化发展，促进产城才融合的建议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3.建设吸引和聚集海峡两岸创新创业领军人才高地的策略研究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4.新形势下两岸人才融合发展新模式的探索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培育独角兽企业的路径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探析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6.壮大乡村振兴人才队伍建设的对策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7.推进海丝法务区建设的研究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8.创新驱动经济高质量发展研究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9.高标准建设金砖创新基地，加快合作成果转化落地的建议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10.疫情影响下做好国际化引才工作的建议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20" w:lineRule="exact"/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spacing w:line="620" w:lineRule="exact"/>
        <w:jc w:val="left"/>
        <w:rPr>
          <w:rFonts w:ascii="楷体_GB2312" w:hAnsi="楷体" w:eastAsia="楷体_GB2312"/>
          <w:b/>
          <w:sz w:val="36"/>
          <w:szCs w:val="36"/>
        </w:rPr>
      </w:pPr>
    </w:p>
    <w:p>
      <w:pPr>
        <w:spacing w:line="620" w:lineRule="exact"/>
        <w:jc w:val="left"/>
        <w:rPr>
          <w:rFonts w:ascii="楷体_GB2312" w:hAnsi="楷体" w:eastAsia="楷体_GB2312"/>
          <w:b/>
          <w:sz w:val="36"/>
          <w:szCs w:val="36"/>
        </w:rPr>
      </w:pPr>
    </w:p>
    <w:p>
      <w:pPr>
        <w:spacing w:line="360" w:lineRule="auto"/>
        <w:ind w:firstLine="720" w:firstLineChars="200"/>
        <w:rPr>
          <w:rFonts w:ascii="仿宋_GB2312" w:hAnsi="黑体" w:eastAsia="仿宋_GB2312"/>
          <w:color w:val="000000"/>
          <w:sz w:val="36"/>
          <w:szCs w:val="36"/>
        </w:rPr>
      </w:pPr>
    </w:p>
    <w:p>
      <w:pPr>
        <w:spacing w:line="620" w:lineRule="exact"/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spacing w:line="620" w:lineRule="exact"/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spacing w:line="620" w:lineRule="exact"/>
        <w:jc w:val="left"/>
        <w:rPr>
          <w:rFonts w:ascii="楷体_GB2312" w:hAnsi="楷体" w:eastAsia="楷体_GB2312"/>
          <w:b/>
          <w:sz w:val="36"/>
          <w:szCs w:val="36"/>
        </w:rPr>
        <w:sectPr>
          <w:pgSz w:w="11906" w:h="16838"/>
          <w:pgMar w:top="850" w:right="1800" w:bottom="850" w:left="1800" w:header="851" w:footer="992" w:gutter="0"/>
          <w:cols w:space="720" w:num="1"/>
          <w:docGrid w:type="lines" w:linePitch="312" w:charSpace="0"/>
        </w:sectPr>
      </w:pPr>
      <w:r>
        <w:rPr>
          <w:rFonts w:ascii="楷体_GB2312" w:hAnsi="楷体" w:eastAsia="楷体_GB2312"/>
          <w:b/>
          <w:sz w:val="36"/>
          <w:szCs w:val="36"/>
        </w:rPr>
        <w:br w:type="page"/>
      </w:r>
    </w:p>
    <w:p>
      <w:pPr>
        <w:spacing w:line="620" w:lineRule="exact"/>
        <w:jc w:val="left"/>
        <w:rPr>
          <w:rFonts w:ascii="楷体_GB2312" w:hAnsi="楷体" w:eastAsia="楷体_GB2312"/>
          <w:b w:val="0"/>
          <w:bCs/>
          <w:sz w:val="36"/>
          <w:szCs w:val="36"/>
        </w:rPr>
      </w:pPr>
      <w:r>
        <w:rPr>
          <w:rFonts w:hint="eastAsia" w:ascii="楷体_GB2312" w:hAnsi="楷体" w:eastAsia="楷体_GB2312"/>
          <w:b w:val="0"/>
          <w:bCs/>
          <w:sz w:val="36"/>
          <w:szCs w:val="36"/>
        </w:rPr>
        <w:t>附件</w:t>
      </w:r>
      <w:r>
        <w:rPr>
          <w:rFonts w:hint="eastAsia" w:ascii="楷体_GB2312" w:hAnsi="楷体" w:eastAsia="楷体_GB2312"/>
          <w:b w:val="0"/>
          <w:bCs/>
          <w:sz w:val="36"/>
          <w:szCs w:val="36"/>
          <w:lang w:val="en-US" w:eastAsia="zh-CN"/>
        </w:rPr>
        <w:t>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人才咨政（建言献策）</w:t>
      </w:r>
      <w:r>
        <w:rPr>
          <w:rFonts w:hint="eastAsia" w:ascii="仿宋_GB2312" w:eastAsia="仿宋_GB2312"/>
          <w:sz w:val="36"/>
          <w:szCs w:val="36"/>
        </w:rPr>
        <w:t>汇总表</w:t>
      </w:r>
    </w:p>
    <w:tbl>
      <w:tblPr>
        <w:tblStyle w:val="5"/>
        <w:tblW w:w="138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3724"/>
        <w:gridCol w:w="4135"/>
        <w:gridCol w:w="3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人才姓名</w:t>
            </w:r>
          </w:p>
        </w:tc>
        <w:tc>
          <w:tcPr>
            <w:tcW w:w="37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人才所在单位</w:t>
            </w:r>
          </w:p>
        </w:tc>
        <w:tc>
          <w:tcPr>
            <w:tcW w:w="41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认领课题名称或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建言献策主题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581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24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5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widowControl w:val="0"/>
        <w:wordWrap/>
        <w:adjustRightInd/>
        <w:snapToGrid/>
        <w:spacing w:line="600" w:lineRule="exact"/>
        <w:ind w:right="0"/>
        <w:textAlignment w:val="auto"/>
        <w:outlineLvl w:val="9"/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72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6"/>
          <w:szCs w:val="36"/>
          <w:u w:val="none"/>
          <w:lang w:val="en-US" w:eastAsia="zh-CN"/>
        </w:rPr>
      </w:pPr>
      <w:r>
        <w:rPr>
          <w:rFonts w:ascii="仿宋_GB2312" w:eastAsia="仿宋_GB2312"/>
          <w:sz w:val="36"/>
          <w:szCs w:val="36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UrpnBrgEAAFg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TbDJcrgEAAFg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C1E27"/>
    <w:rsid w:val="01442D5B"/>
    <w:rsid w:val="01BF3454"/>
    <w:rsid w:val="07FC0CD4"/>
    <w:rsid w:val="0A884C57"/>
    <w:rsid w:val="0CAF60D4"/>
    <w:rsid w:val="0D3F7D3D"/>
    <w:rsid w:val="0DE66D0B"/>
    <w:rsid w:val="158A2E65"/>
    <w:rsid w:val="18786214"/>
    <w:rsid w:val="19100D05"/>
    <w:rsid w:val="307736C5"/>
    <w:rsid w:val="35260EBC"/>
    <w:rsid w:val="45B01F3D"/>
    <w:rsid w:val="695365B7"/>
    <w:rsid w:val="75C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2022-07-12T01:06:00Z</dcterms:created>
  <dc:creator>lyp</dc:creator>
  <cp:lastModifiedBy>linzhaodi</cp:lastModifiedBy>
  <cp:lastPrinted>2022-07-12T07:45:36Z</cp:lastPrinted>
  <dcterms:modified xsi:type="dcterms:W3CDTF">2022-07-12T07:50:10Z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