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AB7E05">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附件1</w:t>
      </w:r>
    </w:p>
    <w:p w14:paraId="22C28381">
      <w:pPr>
        <w:rPr>
          <w:rFonts w:hint="eastAsia"/>
        </w:rPr>
      </w:pPr>
    </w:p>
    <w:p w14:paraId="4F79A3E0">
      <w:pPr>
        <w:pStyle w:val="3"/>
        <w:keepNext w:val="0"/>
        <w:keepLines w:val="0"/>
        <w:pageBreakBefore w:val="0"/>
        <w:kinsoku/>
        <w:wordWrap/>
        <w:overflowPunct/>
        <w:topLinePunct w:val="0"/>
        <w:autoSpaceDE/>
        <w:autoSpaceDN/>
        <w:bidi w:val="0"/>
        <w:adjustRightInd/>
        <w:snapToGrid/>
        <w:spacing w:after="0" w:line="600" w:lineRule="exact"/>
        <w:ind w:firstLine="0" w:firstLineChars="0"/>
        <w:jc w:val="center"/>
        <w:textAlignment w:val="auto"/>
        <w:rPr>
          <w:rFonts w:hint="eastAsia" w:ascii="方正小标宋简体" w:hAnsi="方正小标宋简体" w:eastAsia="方正小标宋简体" w:cs="方正小标宋简体"/>
          <w:color w:val="auto"/>
          <w:spacing w:val="0"/>
          <w:sz w:val="44"/>
          <w:szCs w:val="44"/>
          <w:highlight w:val="none"/>
        </w:rPr>
      </w:pPr>
      <w:r>
        <w:rPr>
          <w:rFonts w:hint="eastAsia" w:ascii="方正小标宋简体" w:hAnsi="方正小标宋简体" w:eastAsia="方正小标宋简体" w:cs="方正小标宋简体"/>
          <w:color w:val="auto"/>
          <w:spacing w:val="0"/>
          <w:sz w:val="44"/>
          <w:szCs w:val="44"/>
          <w:highlight w:val="none"/>
        </w:rPr>
        <w:t>课题指南</w:t>
      </w:r>
    </w:p>
    <w:p w14:paraId="375B05AC">
      <w:pPr>
        <w:pStyle w:val="3"/>
        <w:keepNext w:val="0"/>
        <w:keepLines w:val="0"/>
        <w:pageBreakBefore w:val="0"/>
        <w:kinsoku/>
        <w:wordWrap/>
        <w:overflowPunct/>
        <w:topLinePunct w:val="0"/>
        <w:autoSpaceDE/>
        <w:autoSpaceDN/>
        <w:bidi w:val="0"/>
        <w:adjustRightInd/>
        <w:snapToGrid/>
        <w:spacing w:after="0" w:line="600" w:lineRule="exact"/>
        <w:ind w:firstLine="0" w:firstLineChars="0"/>
        <w:jc w:val="left"/>
        <w:textAlignment w:val="auto"/>
        <w:rPr>
          <w:rFonts w:hint="eastAsia" w:ascii="方正小标宋简体" w:hAnsi="方正小标宋简体" w:eastAsia="方正小标宋简体" w:cs="方正小标宋简体"/>
          <w:color w:val="auto"/>
          <w:spacing w:val="0"/>
          <w:sz w:val="44"/>
          <w:szCs w:val="44"/>
          <w:highlight w:val="none"/>
        </w:rPr>
      </w:pPr>
    </w:p>
    <w:p w14:paraId="18EA6856">
      <w:pPr>
        <w:pStyle w:val="3"/>
        <w:keepNext w:val="0"/>
        <w:keepLines w:val="0"/>
        <w:pageBreakBefore w:val="0"/>
        <w:kinsoku/>
        <w:wordWrap/>
        <w:overflowPunct/>
        <w:topLinePunct w:val="0"/>
        <w:autoSpaceDE/>
        <w:autoSpaceDN/>
        <w:bidi w:val="0"/>
        <w:adjustRightInd/>
        <w:snapToGrid/>
        <w:spacing w:after="0" w:line="600" w:lineRule="exact"/>
        <w:ind w:firstLine="0" w:firstLineChars="0"/>
        <w:jc w:val="left"/>
        <w:textAlignment w:val="auto"/>
        <w:rPr>
          <w:rFonts w:ascii="仿宋_GB2312" w:eastAsia="黑体"/>
          <w:color w:val="auto"/>
          <w:spacing w:val="0"/>
          <w:sz w:val="32"/>
          <w:szCs w:val="32"/>
          <w:highlight w:val="none"/>
        </w:rPr>
      </w:pPr>
      <w:r>
        <w:rPr>
          <w:rFonts w:hint="eastAsia" w:ascii="黑体" w:hAnsi="黑体" w:eastAsia="黑体" w:cs="黑体"/>
          <w:color w:val="auto"/>
          <w:spacing w:val="0"/>
          <w:sz w:val="32"/>
          <w:szCs w:val="32"/>
          <w:highlight w:val="none"/>
        </w:rPr>
        <w:t>一、</w:t>
      </w:r>
      <w:r>
        <w:rPr>
          <w:rFonts w:hint="eastAsia" w:ascii="黑体" w:hAnsi="黑体" w:eastAsia="黑体" w:cs="黑体"/>
          <w:bCs/>
          <w:color w:val="auto"/>
          <w:spacing w:val="0"/>
          <w:sz w:val="32"/>
          <w:szCs w:val="32"/>
          <w:highlight w:val="none"/>
        </w:rPr>
        <w:t>福建省中青年教师教育科研项目</w:t>
      </w:r>
      <w:r>
        <w:rPr>
          <w:rFonts w:hint="eastAsia" w:ascii="黑体" w:hAnsi="黑体" w:eastAsia="黑体" w:cs="黑体"/>
          <w:bCs/>
          <w:color w:val="auto"/>
          <w:spacing w:val="0"/>
          <w:sz w:val="32"/>
          <w:szCs w:val="32"/>
          <w:highlight w:val="none"/>
          <w:lang w:eastAsia="zh-CN"/>
        </w:rPr>
        <w:t>（社科类）</w:t>
      </w:r>
      <w:r>
        <w:rPr>
          <w:rFonts w:hint="eastAsia" w:ascii="黑体" w:hAnsi="黑体" w:eastAsia="黑体" w:cs="黑体"/>
          <w:bCs/>
          <w:color w:val="auto"/>
          <w:spacing w:val="0"/>
          <w:sz w:val="32"/>
          <w:szCs w:val="32"/>
          <w:highlight w:val="none"/>
        </w:rPr>
        <w:t>一般项目</w:t>
      </w:r>
    </w:p>
    <w:p w14:paraId="317F7EAB">
      <w:pPr>
        <w:spacing w:line="60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1.习</w:t>
      </w:r>
      <w:r>
        <w:rPr>
          <w:rFonts w:hint="eastAsia" w:ascii="仿宋_GB2312" w:hAnsi="仿宋_GB2312" w:eastAsia="仿宋_GB2312" w:cs="仿宋_GB2312"/>
          <w:color w:val="000000"/>
          <w:spacing w:val="-6"/>
          <w:sz w:val="32"/>
          <w:szCs w:val="32"/>
        </w:rPr>
        <w:t>近</w:t>
      </w:r>
      <w:r>
        <w:rPr>
          <w:rFonts w:hint="eastAsia" w:ascii="仿宋_GB2312" w:hAnsi="仿宋_GB2312" w:eastAsia="仿宋_GB2312" w:cs="仿宋_GB2312"/>
          <w:color w:val="000000"/>
          <w:spacing w:val="-11"/>
          <w:sz w:val="32"/>
          <w:szCs w:val="32"/>
        </w:rPr>
        <w:t>平新时代中国特色社会主义思想的丰富内涵和科学体系研究</w:t>
      </w:r>
      <w:r>
        <w:rPr>
          <w:rFonts w:hint="eastAsia" w:ascii="仿宋_GB2312" w:hAnsi="仿宋_GB2312" w:eastAsia="仿宋_GB2312" w:cs="仿宋_GB2312"/>
          <w:color w:val="000000"/>
          <w:spacing w:val="-6"/>
          <w:sz w:val="32"/>
          <w:szCs w:val="32"/>
        </w:rPr>
        <w:t xml:space="preserve"> </w:t>
      </w:r>
    </w:p>
    <w:p w14:paraId="55BDE389">
      <w:pPr>
        <w:spacing w:line="60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2.习近平新时代中国特色社会主义思想的道理学理哲理研究 </w:t>
      </w:r>
    </w:p>
    <w:p w14:paraId="27D2D4AF">
      <w:pPr>
        <w:spacing w:line="60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3.习近平新时代中国特色社会主义思想的原创性贡献研究</w:t>
      </w:r>
    </w:p>
    <w:p w14:paraId="37FA1CB3">
      <w:pPr>
        <w:spacing w:line="60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4.习近平新时代中国特色社会主义思想的世界观和方法论研究 </w:t>
      </w:r>
    </w:p>
    <w:p w14:paraId="3DA5F8B3">
      <w:pPr>
        <w:spacing w:line="60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5.习近平文化思想对马克思主义文化理论的丰富发展研究</w:t>
      </w:r>
    </w:p>
    <w:p w14:paraId="03F5B149">
      <w:pPr>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6.习近平总书记关于全面深化改革的重要论述研究</w:t>
      </w:r>
    </w:p>
    <w:p w14:paraId="19656EBB">
      <w:pPr>
        <w:spacing w:line="60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kern w:val="0"/>
          <w:sz w:val="32"/>
          <w:szCs w:val="32"/>
          <w:lang w:bidi="ar"/>
        </w:rPr>
        <w:t>7.</w:t>
      </w:r>
      <w:r>
        <w:rPr>
          <w:rFonts w:hint="eastAsia" w:ascii="仿宋_GB2312" w:hAnsi="仿宋_GB2312" w:eastAsia="仿宋_GB2312" w:cs="仿宋_GB2312"/>
          <w:sz w:val="32"/>
          <w:szCs w:val="32"/>
        </w:rPr>
        <w:t>习</w:t>
      </w:r>
      <w:r>
        <w:rPr>
          <w:rFonts w:hint="eastAsia" w:ascii="仿宋_GB2312" w:hAnsi="仿宋_GB2312" w:eastAsia="仿宋_GB2312" w:cs="仿宋_GB2312"/>
          <w:spacing w:val="-6"/>
          <w:sz w:val="32"/>
          <w:szCs w:val="32"/>
        </w:rPr>
        <w:t>近平总书记在福建工作期间</w:t>
      </w:r>
      <w:r>
        <w:rPr>
          <w:rFonts w:hint="eastAsia" w:ascii="仿宋_GB2312" w:hAnsi="仿宋_GB2312" w:eastAsia="仿宋_GB2312" w:cs="仿宋_GB2312"/>
          <w:spacing w:val="-6"/>
          <w:sz w:val="32"/>
          <w:szCs w:val="32"/>
          <w:lang w:eastAsia="zh-CN"/>
        </w:rPr>
        <w:t>开创</w:t>
      </w:r>
      <w:r>
        <w:rPr>
          <w:rFonts w:hint="eastAsia" w:ascii="仿宋_GB2312" w:hAnsi="仿宋_GB2312" w:eastAsia="仿宋_GB2312" w:cs="仿宋_GB2312"/>
          <w:spacing w:val="-6"/>
          <w:sz w:val="32"/>
          <w:szCs w:val="32"/>
        </w:rPr>
        <w:t>的重要理念和重大实践研究</w:t>
      </w:r>
    </w:p>
    <w:p w14:paraId="1BBF9EC6">
      <w:pPr>
        <w:spacing w:line="600" w:lineRule="exact"/>
        <w:jc w:val="left"/>
        <w:rPr>
          <w:rFonts w:hint="eastAsia" w:ascii="仿宋_GB2312" w:hAnsi="仿宋_GB2312" w:eastAsia="仿宋_GB2312" w:cs="仿宋_GB2312"/>
          <w:spacing w:val="-6"/>
          <w:sz w:val="32"/>
          <w:szCs w:val="32"/>
        </w:rPr>
      </w:pPr>
      <w:r>
        <w:rPr>
          <w:rFonts w:hint="eastAsia" w:ascii="仿宋_GB2312" w:hAnsi="仿宋_GB2312" w:eastAsia="仿宋_GB2312" w:cs="仿宋_GB2312"/>
          <w:kern w:val="0"/>
          <w:sz w:val="32"/>
          <w:szCs w:val="32"/>
          <w:lang w:bidi="ar"/>
        </w:rPr>
        <w:t>8.</w:t>
      </w:r>
      <w:r>
        <w:rPr>
          <w:rFonts w:hint="eastAsia" w:ascii="仿宋_GB2312" w:hAnsi="仿宋_GB2312" w:eastAsia="仿宋_GB2312" w:cs="仿宋_GB2312"/>
          <w:spacing w:val="-6"/>
          <w:sz w:val="32"/>
          <w:szCs w:val="32"/>
        </w:rPr>
        <w:t>“</w:t>
      </w:r>
      <w:r>
        <w:rPr>
          <w:rFonts w:hint="eastAsia" w:ascii="仿宋_GB2312" w:hAnsi="仿宋_GB2312" w:eastAsia="仿宋_GB2312" w:cs="仿宋_GB2312"/>
          <w:kern w:val="0"/>
          <w:sz w:val="32"/>
          <w:szCs w:val="32"/>
          <w:lang w:bidi="ar"/>
        </w:rPr>
        <w:t>两个确立”的决定性意义研究</w:t>
      </w:r>
    </w:p>
    <w:p w14:paraId="452E45C3">
      <w:pPr>
        <w:widowControl/>
        <w:spacing w:line="600" w:lineRule="exact"/>
        <w:jc w:val="left"/>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9.坚持“两个结合”推进中国式现代化研究</w:t>
      </w:r>
    </w:p>
    <w:p w14:paraId="7359CA91">
      <w:pP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10.</w:t>
      </w:r>
      <w:r>
        <w:rPr>
          <w:rFonts w:hint="eastAsia" w:ascii="仿宋_GB2312" w:hAnsi="仿宋_GB2312" w:eastAsia="仿宋_GB2312" w:cs="仿宋_GB2312"/>
          <w:sz w:val="32"/>
          <w:szCs w:val="32"/>
        </w:rPr>
        <w:t>全面建设社会主义现代化国家的首要任务研究</w:t>
      </w:r>
    </w:p>
    <w:p w14:paraId="1756D6B5">
      <w:pPr>
        <w:widowControl/>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11.</w:t>
      </w:r>
      <w:r>
        <w:rPr>
          <w:rFonts w:hint="eastAsia" w:ascii="仿宋_GB2312" w:hAnsi="仿宋_GB2312" w:eastAsia="仿宋_GB2312" w:cs="仿宋_GB2312"/>
          <w:sz w:val="32"/>
          <w:szCs w:val="32"/>
        </w:rPr>
        <w:t>中国式现代化的本质要求研究</w:t>
      </w:r>
      <w:r>
        <w:rPr>
          <w:rFonts w:hint="eastAsia" w:ascii="仿宋_GB2312" w:hAnsi="仿宋_GB2312" w:eastAsia="仿宋_GB2312" w:cs="仿宋_GB2312"/>
          <w:sz w:val="32"/>
          <w:szCs w:val="32"/>
          <w:shd w:val="clear" w:color="auto" w:fill="FFFFFF"/>
        </w:rPr>
        <w:t xml:space="preserve"> </w:t>
      </w:r>
    </w:p>
    <w:p w14:paraId="315E2D6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12.中国式现代化的重要保障研究</w:t>
      </w:r>
    </w:p>
    <w:p w14:paraId="0FF8D45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13.中国式现代化的鲜明标识研究</w:t>
      </w:r>
    </w:p>
    <w:p w14:paraId="0341AD96">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14.中国式现代化的重大任务研究</w:t>
      </w:r>
    </w:p>
    <w:p w14:paraId="6B10F566">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15.完善推动高质量发展激励约束机制研究</w:t>
      </w:r>
    </w:p>
    <w:p w14:paraId="3E13579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16.健全因地制宜发展新质生产力体制机制研究</w:t>
      </w:r>
    </w:p>
    <w:p w14:paraId="7E63C44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17.统筹推进教育科技人才体制机制一体改革研究</w:t>
      </w:r>
    </w:p>
    <w:p w14:paraId="1F1FA60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w:t>
      </w:r>
      <w:r>
        <w:rPr>
          <w:rFonts w:ascii="仿宋_GB2312" w:hAnsi="仿宋_GB2312" w:eastAsia="仿宋_GB2312" w:cs="仿宋_GB2312"/>
          <w:sz w:val="32"/>
          <w:szCs w:val="32"/>
        </w:rPr>
        <w:t>建</w:t>
      </w:r>
      <w:r>
        <w:rPr>
          <w:rFonts w:ascii="仿宋_GB2312" w:hAnsi="仿宋_GB2312" w:eastAsia="仿宋_GB2312" w:cs="仿宋_GB2312"/>
          <w:spacing w:val="-11"/>
          <w:sz w:val="32"/>
          <w:szCs w:val="32"/>
        </w:rPr>
        <w:t>立以创新能力、质量、实效、贡献为导向的人才评价体系</w:t>
      </w:r>
      <w:r>
        <w:rPr>
          <w:rFonts w:hint="eastAsia" w:ascii="仿宋_GB2312" w:hAnsi="仿宋_GB2312" w:eastAsia="仿宋_GB2312" w:cs="仿宋_GB2312"/>
          <w:spacing w:val="-11"/>
          <w:sz w:val="32"/>
          <w:szCs w:val="32"/>
        </w:rPr>
        <w:t>研究</w:t>
      </w:r>
    </w:p>
    <w:p w14:paraId="00693AB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19.健全促进</w:t>
      </w:r>
      <w:r>
        <w:rPr>
          <w:rFonts w:hint="eastAsia" w:ascii="仿宋_GB2312" w:hAnsi="仿宋_GB2312" w:eastAsia="仿宋_GB2312" w:cs="仿宋_GB2312"/>
          <w:color w:val="000000"/>
          <w:sz w:val="32"/>
          <w:szCs w:val="32"/>
        </w:rPr>
        <w:t>实体经济和数字经济深度融合制度</w:t>
      </w:r>
      <w:r>
        <w:rPr>
          <w:rFonts w:hint="eastAsia" w:ascii="仿宋_GB2312" w:hAnsi="仿宋_GB2312" w:eastAsia="仿宋_GB2312" w:cs="仿宋_GB2312"/>
          <w:sz w:val="32"/>
          <w:szCs w:val="32"/>
        </w:rPr>
        <w:t>研究</w:t>
      </w:r>
    </w:p>
    <w:p w14:paraId="4C8F240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20.全面提高城乡规划、建设、治理融合水平研究</w:t>
      </w:r>
    </w:p>
    <w:p w14:paraId="753FB0B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21.完善推进高质量共建“一带一路”机制研究</w:t>
      </w:r>
    </w:p>
    <w:p w14:paraId="669B052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22.健全网络综合治理体系研究</w:t>
      </w:r>
    </w:p>
    <w:p w14:paraId="70EA1E7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w:t>
      </w:r>
      <w:r>
        <w:rPr>
          <w:rFonts w:ascii="仿宋_GB2312" w:hAnsi="仿宋_GB2312" w:eastAsia="仿宋_GB2312" w:cs="仿宋_GB2312"/>
          <w:sz w:val="32"/>
          <w:szCs w:val="32"/>
        </w:rPr>
        <w:t>推动走出去、请进来管理便利化</w:t>
      </w:r>
      <w:r>
        <w:rPr>
          <w:rFonts w:hint="eastAsia" w:ascii="仿宋_GB2312" w:hAnsi="仿宋_GB2312" w:eastAsia="仿宋_GB2312" w:cs="仿宋_GB2312"/>
          <w:sz w:val="32"/>
          <w:szCs w:val="32"/>
        </w:rPr>
        <w:t>研究</w:t>
      </w:r>
    </w:p>
    <w:p w14:paraId="02A17A5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w:t>
      </w:r>
      <w:r>
        <w:rPr>
          <w:rFonts w:ascii="仿宋_GB2312" w:hAnsi="仿宋_GB2312" w:eastAsia="仿宋_GB2312" w:cs="仿宋_GB2312"/>
          <w:sz w:val="32"/>
          <w:szCs w:val="32"/>
        </w:rPr>
        <w:t>发展银发经济</w:t>
      </w:r>
      <w:r>
        <w:rPr>
          <w:rFonts w:hint="eastAsia" w:ascii="仿宋_GB2312" w:hAnsi="仿宋_GB2312" w:eastAsia="仿宋_GB2312" w:cs="仿宋_GB2312"/>
          <w:sz w:val="32"/>
          <w:szCs w:val="32"/>
        </w:rPr>
        <w:t>研究</w:t>
      </w:r>
    </w:p>
    <w:p w14:paraId="2331913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w:t>
      </w:r>
      <w:r>
        <w:rPr>
          <w:rFonts w:ascii="仿宋_GB2312" w:hAnsi="仿宋_GB2312" w:eastAsia="仿宋_GB2312" w:cs="仿宋_GB2312"/>
          <w:sz w:val="32"/>
          <w:szCs w:val="32"/>
        </w:rPr>
        <w:t>健全绿色低碳发展机制</w:t>
      </w:r>
      <w:r>
        <w:rPr>
          <w:rFonts w:hint="eastAsia" w:ascii="仿宋_GB2312" w:hAnsi="仿宋_GB2312" w:eastAsia="仿宋_GB2312" w:cs="仿宋_GB2312"/>
          <w:sz w:val="32"/>
          <w:szCs w:val="32"/>
        </w:rPr>
        <w:t>研究</w:t>
      </w:r>
    </w:p>
    <w:p w14:paraId="00EFAFA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26.实现高质量发展和高水平安全良性互动研究</w:t>
      </w:r>
      <w:r>
        <w:rPr>
          <w:rFonts w:ascii="Arial" w:hAnsi="Arial" w:cs="Arial"/>
          <w:color w:val="222222"/>
          <w:sz w:val="27"/>
          <w:szCs w:val="27"/>
          <w:shd w:val="clear" w:color="auto" w:fill="FFFFFF"/>
        </w:rPr>
        <w:t xml:space="preserve"> </w:t>
      </w:r>
    </w:p>
    <w:p w14:paraId="73B0622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27.中国共产党人精神谱系研究</w:t>
      </w:r>
    </w:p>
    <w:p w14:paraId="7BF4A6F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28.完善党的自我革命制度规范体系研究</w:t>
      </w:r>
    </w:p>
    <w:p w14:paraId="698904D4">
      <w:pPr>
        <w:spacing w:line="60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29.新的文化生命体与建设中华民族现代文明研究</w:t>
      </w:r>
    </w:p>
    <w:p w14:paraId="45084E7B">
      <w:pPr>
        <w:spacing w:line="60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30.坚持和发展新时代“枫桥经验”研究</w:t>
      </w:r>
    </w:p>
    <w:p w14:paraId="5A6CCA1E">
      <w:pPr>
        <w:spacing w:line="60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31.学用“千万工程”经验推进乡村全面振兴实现路径研究</w:t>
      </w:r>
    </w:p>
    <w:p w14:paraId="58BB618C">
      <w:pPr>
        <w:spacing w:line="60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32.</w:t>
      </w:r>
      <w:r>
        <w:rPr>
          <w:rFonts w:ascii="仿宋_GB2312" w:hAnsi="仿宋_GB2312" w:eastAsia="仿宋_GB2312" w:cs="仿宋_GB2312"/>
          <w:color w:val="000000"/>
          <w:sz w:val="32"/>
          <w:szCs w:val="32"/>
        </w:rPr>
        <w:t>完善民营企业参与国家重大项目建设长效机制</w:t>
      </w:r>
      <w:r>
        <w:rPr>
          <w:rFonts w:hint="eastAsia" w:ascii="仿宋_GB2312" w:hAnsi="仿宋_GB2312" w:eastAsia="仿宋_GB2312" w:cs="仿宋_GB2312"/>
          <w:color w:val="000000"/>
          <w:sz w:val="32"/>
          <w:szCs w:val="32"/>
        </w:rPr>
        <w:t>研究</w:t>
      </w:r>
    </w:p>
    <w:p w14:paraId="6F3E1B08">
      <w:pPr>
        <w:spacing w:line="600" w:lineRule="exact"/>
        <w:jc w:val="left"/>
        <w:rPr>
          <w:rFonts w:ascii="Times New Roman" w:hAnsi="Times New Roman" w:eastAsia="宋体" w:cs="Times New Roman"/>
          <w:color w:val="000000"/>
          <w:sz w:val="32"/>
          <w:szCs w:val="32"/>
        </w:rPr>
      </w:pPr>
      <w:r>
        <w:rPr>
          <w:rFonts w:hint="eastAsia" w:ascii="仿宋_GB2312" w:hAnsi="仿宋_GB2312" w:eastAsia="仿宋_GB2312" w:cs="仿宋_GB2312"/>
          <w:color w:val="000000"/>
          <w:sz w:val="32"/>
          <w:szCs w:val="32"/>
        </w:rPr>
        <w:t>33.数字时代新型犯罪形态的法律规制研究</w:t>
      </w:r>
    </w:p>
    <w:p w14:paraId="3B4473FB">
      <w:pPr>
        <w:spacing w:line="60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34.</w:t>
      </w:r>
      <w:r>
        <w:rPr>
          <w:rFonts w:ascii="仿宋_GB2312" w:hAnsi="仿宋_GB2312" w:eastAsia="仿宋_GB2312" w:cs="仿宋_GB2312"/>
          <w:color w:val="000000"/>
          <w:sz w:val="32"/>
          <w:szCs w:val="32"/>
        </w:rPr>
        <w:t>健全党内法规同国家法律法规衔接协调机制</w:t>
      </w:r>
      <w:r>
        <w:rPr>
          <w:rFonts w:hint="eastAsia" w:ascii="仿宋_GB2312" w:hAnsi="仿宋_GB2312" w:eastAsia="仿宋_GB2312" w:cs="仿宋_GB2312"/>
          <w:color w:val="000000"/>
          <w:sz w:val="32"/>
          <w:szCs w:val="32"/>
        </w:rPr>
        <w:t>研究</w:t>
      </w:r>
    </w:p>
    <w:p w14:paraId="0B355FE8">
      <w:pPr>
        <w:spacing w:line="60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35.新兴领域、重点领域立法问题研究</w:t>
      </w:r>
    </w:p>
    <w:p w14:paraId="21124F39">
      <w:pPr>
        <w:spacing w:line="60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36.</w:t>
      </w:r>
      <w:r>
        <w:rPr>
          <w:rFonts w:ascii="仿宋_GB2312" w:hAnsi="仿宋_GB2312" w:eastAsia="仿宋_GB2312" w:cs="仿宋_GB2312"/>
          <w:color w:val="000000"/>
          <w:sz w:val="32"/>
          <w:szCs w:val="32"/>
        </w:rPr>
        <w:t>加快构建职普融通、产教融合的职业教育体系</w:t>
      </w:r>
      <w:r>
        <w:rPr>
          <w:rFonts w:hint="eastAsia" w:ascii="仿宋_GB2312" w:hAnsi="仿宋_GB2312" w:eastAsia="仿宋_GB2312" w:cs="仿宋_GB2312"/>
          <w:color w:val="000000"/>
          <w:sz w:val="32"/>
          <w:szCs w:val="32"/>
        </w:rPr>
        <w:t>研究</w:t>
      </w:r>
    </w:p>
    <w:p w14:paraId="3A83B3FC">
      <w:pPr>
        <w:spacing w:line="60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37.</w:t>
      </w:r>
      <w:r>
        <w:rPr>
          <w:rFonts w:ascii="仿宋_GB2312" w:hAnsi="仿宋_GB2312" w:eastAsia="仿宋_GB2312" w:cs="仿宋_GB2312"/>
          <w:color w:val="000000"/>
          <w:sz w:val="32"/>
          <w:szCs w:val="32"/>
        </w:rPr>
        <w:t>完善学生实习实践制度</w:t>
      </w:r>
      <w:r>
        <w:rPr>
          <w:rFonts w:hint="eastAsia" w:ascii="仿宋_GB2312" w:hAnsi="仿宋_GB2312" w:eastAsia="仿宋_GB2312" w:cs="仿宋_GB2312"/>
          <w:color w:val="000000"/>
          <w:sz w:val="32"/>
          <w:szCs w:val="32"/>
        </w:rPr>
        <w:t>研究</w:t>
      </w:r>
    </w:p>
    <w:p w14:paraId="2E38BA91">
      <w:pPr>
        <w:spacing w:line="60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38.推进大中小学思政课一体化改革创新研究</w:t>
      </w:r>
    </w:p>
    <w:p w14:paraId="5495628A">
      <w:pPr>
        <w:spacing w:line="60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39.</w:t>
      </w:r>
      <w:r>
        <w:rPr>
          <w:rFonts w:ascii="仿宋_GB2312" w:hAnsi="仿宋_GB2312" w:eastAsia="仿宋_GB2312" w:cs="仿宋_GB2312"/>
          <w:color w:val="000000"/>
          <w:sz w:val="32"/>
          <w:szCs w:val="32"/>
        </w:rPr>
        <w:t>强化科技教育和人文教育协同</w:t>
      </w:r>
      <w:r>
        <w:rPr>
          <w:rFonts w:hint="eastAsia" w:ascii="仿宋_GB2312" w:hAnsi="仿宋_GB2312" w:eastAsia="仿宋_GB2312" w:cs="仿宋_GB2312"/>
          <w:color w:val="000000"/>
          <w:sz w:val="32"/>
          <w:szCs w:val="32"/>
        </w:rPr>
        <w:t>研究</w:t>
      </w:r>
    </w:p>
    <w:p w14:paraId="5F75FBE6">
      <w:pPr>
        <w:spacing w:line="60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40.</w:t>
      </w:r>
      <w:r>
        <w:rPr>
          <w:rFonts w:ascii="仿宋_GB2312" w:hAnsi="仿宋_GB2312" w:eastAsia="仿宋_GB2312" w:cs="仿宋_GB2312"/>
          <w:color w:val="000000"/>
          <w:sz w:val="32"/>
          <w:szCs w:val="32"/>
        </w:rPr>
        <w:t>建立文化遗产保护督察制度</w:t>
      </w:r>
      <w:r>
        <w:rPr>
          <w:rFonts w:hint="eastAsia" w:ascii="仿宋_GB2312" w:hAnsi="仿宋_GB2312" w:eastAsia="仿宋_GB2312" w:cs="仿宋_GB2312"/>
          <w:color w:val="000000"/>
          <w:sz w:val="32"/>
          <w:szCs w:val="32"/>
        </w:rPr>
        <w:t>研究</w:t>
      </w:r>
    </w:p>
    <w:p w14:paraId="61DEB0DC">
      <w:pPr>
        <w:spacing w:line="60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41.</w:t>
      </w:r>
      <w:r>
        <w:rPr>
          <w:rFonts w:ascii="仿宋_GB2312" w:hAnsi="仿宋_GB2312" w:eastAsia="仿宋_GB2312" w:cs="仿宋_GB2312"/>
          <w:color w:val="000000"/>
          <w:sz w:val="32"/>
          <w:szCs w:val="32"/>
        </w:rPr>
        <w:t>完善高校毕业生等重点群体就业支持体系</w:t>
      </w:r>
      <w:r>
        <w:rPr>
          <w:rFonts w:hint="eastAsia" w:ascii="仿宋_GB2312" w:hAnsi="仿宋_GB2312" w:eastAsia="仿宋_GB2312" w:cs="仿宋_GB2312"/>
          <w:color w:val="000000"/>
          <w:sz w:val="32"/>
          <w:szCs w:val="32"/>
        </w:rPr>
        <w:t>研究</w:t>
      </w:r>
    </w:p>
    <w:p w14:paraId="0ED0C2CF">
      <w:pPr>
        <w:spacing w:line="60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42.优化英模人物宣传学习机制研究</w:t>
      </w:r>
    </w:p>
    <w:p w14:paraId="37241E22">
      <w:pPr>
        <w:spacing w:line="60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43.《习近平与大学生朋友们》融入高校思政课程体系研究</w:t>
      </w:r>
    </w:p>
    <w:p w14:paraId="54B61205">
      <w:pPr>
        <w:spacing w:line="60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44.深化两岸融合发展研究</w:t>
      </w:r>
    </w:p>
    <w:p w14:paraId="5402746D">
      <w:pPr>
        <w:spacing w:line="60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45.福建省海洋文化研究</w:t>
      </w:r>
    </w:p>
    <w:p w14:paraId="62711575">
      <w:pPr>
        <w:spacing w:line="60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46.福建省文化遗产保护利用研究</w:t>
      </w:r>
    </w:p>
    <w:p w14:paraId="3F8170F0">
      <w:pPr>
        <w:spacing w:line="60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47.侯官文化研究</w:t>
      </w:r>
    </w:p>
    <w:p w14:paraId="63733F9D">
      <w:pPr>
        <w:spacing w:line="60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48.南岛语族研究</w:t>
      </w:r>
    </w:p>
    <w:p w14:paraId="4BF84968">
      <w:pPr>
        <w:spacing w:line="60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49.朱子文化研究</w:t>
      </w:r>
    </w:p>
    <w:p w14:paraId="14926A7E">
      <w:pPr>
        <w:spacing w:line="600" w:lineRule="exact"/>
        <w:jc w:val="left"/>
        <w:rPr>
          <w:rFonts w:hint="eastAsia"/>
        </w:rPr>
      </w:pPr>
      <w:r>
        <w:rPr>
          <w:rFonts w:hint="eastAsia" w:ascii="仿宋_GB2312" w:hAnsi="仿宋_GB2312" w:eastAsia="仿宋_GB2312" w:cs="仿宋_GB2312"/>
          <w:color w:val="000000"/>
          <w:sz w:val="32"/>
          <w:szCs w:val="32"/>
        </w:rPr>
        <w:t>50.新时代弘扬“嘉庚精神”研究</w:t>
      </w:r>
    </w:p>
    <w:p w14:paraId="2D25E0BA">
      <w:pPr>
        <w:keepNext w:val="0"/>
        <w:keepLines w:val="0"/>
        <w:pageBreakBefore w:val="0"/>
        <w:kinsoku/>
        <w:wordWrap/>
        <w:overflowPunct/>
        <w:topLinePunct w:val="0"/>
        <w:autoSpaceDE/>
        <w:autoSpaceDN/>
        <w:bidi w:val="0"/>
        <w:adjustRightInd/>
        <w:snapToGrid/>
        <w:spacing w:line="600" w:lineRule="exact"/>
        <w:jc w:val="left"/>
        <w:textAlignment w:val="auto"/>
        <w:rPr>
          <w:rFonts w:ascii="仿宋_GB2312" w:hAnsi="仿宋_GB2312" w:eastAsia="仿宋_GB2312" w:cs="仿宋_GB2312"/>
          <w:color w:val="auto"/>
          <w:spacing w:val="0"/>
          <w:sz w:val="32"/>
          <w:szCs w:val="32"/>
          <w:highlight w:val="none"/>
        </w:rPr>
      </w:pPr>
      <w:r>
        <w:rPr>
          <w:rFonts w:hint="eastAsia" w:ascii="黑体" w:hAnsi="黑体" w:eastAsia="黑体" w:cs="黑体"/>
          <w:color w:val="auto"/>
          <w:spacing w:val="0"/>
          <w:sz w:val="32"/>
          <w:szCs w:val="32"/>
          <w:highlight w:val="none"/>
        </w:rPr>
        <w:t>二、</w:t>
      </w:r>
      <w:r>
        <w:rPr>
          <w:rFonts w:hint="eastAsia" w:ascii="黑体" w:hAnsi="黑体" w:eastAsia="黑体" w:cs="黑体"/>
          <w:bCs/>
          <w:color w:val="auto"/>
          <w:spacing w:val="0"/>
          <w:sz w:val="32"/>
          <w:szCs w:val="32"/>
          <w:highlight w:val="none"/>
        </w:rPr>
        <w:t>福建省中青年教师教育科研项目基础教育研究专项</w:t>
      </w:r>
    </w:p>
    <w:p w14:paraId="5C7B82DB">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_GB2312" w:hAnsi="楷体_GB2312" w:eastAsia="楷体_GB2312" w:cs="楷体_GB2312"/>
          <w:b/>
          <w:bCs/>
          <w:color w:val="auto"/>
          <w:spacing w:val="0"/>
          <w:sz w:val="32"/>
          <w:szCs w:val="32"/>
          <w:highlight w:val="none"/>
        </w:rPr>
      </w:pPr>
      <w:bookmarkStart w:id="0" w:name="_Hlk71579604"/>
      <w:r>
        <w:rPr>
          <w:rFonts w:hint="eastAsia" w:ascii="楷体_GB2312" w:hAnsi="楷体_GB2312" w:eastAsia="楷体_GB2312" w:cs="楷体_GB2312"/>
          <w:b/>
          <w:bCs/>
          <w:color w:val="auto"/>
          <w:spacing w:val="0"/>
          <w:sz w:val="32"/>
          <w:szCs w:val="32"/>
          <w:highlight w:val="none"/>
          <w:lang w:eastAsia="zh-CN"/>
        </w:rPr>
        <w:t>（一）</w:t>
      </w:r>
      <w:r>
        <w:rPr>
          <w:rFonts w:hint="eastAsia" w:ascii="楷体_GB2312" w:hAnsi="楷体_GB2312" w:eastAsia="楷体_GB2312" w:cs="楷体_GB2312"/>
          <w:b/>
          <w:bCs/>
          <w:color w:val="auto"/>
          <w:spacing w:val="0"/>
          <w:sz w:val="32"/>
          <w:szCs w:val="32"/>
          <w:highlight w:val="none"/>
        </w:rPr>
        <w:t>中小学（含中职）德育、思政课研究</w:t>
      </w:r>
    </w:p>
    <w:bookmarkEnd w:id="0"/>
    <w:p w14:paraId="002CF2F0">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1.习</w:t>
      </w:r>
      <w:r>
        <w:rPr>
          <w:rFonts w:hint="eastAsia" w:ascii="仿宋_GB2312" w:hAnsi="仿宋_GB2312" w:eastAsia="仿宋_GB2312" w:cs="仿宋_GB2312"/>
          <w:color w:val="auto"/>
          <w:spacing w:val="-11"/>
          <w:sz w:val="32"/>
          <w:szCs w:val="32"/>
          <w:highlight w:val="none"/>
        </w:rPr>
        <w:t>近平新时代中国特色社会主义思想进教材、进课堂、进头脑研究</w:t>
      </w:r>
    </w:p>
    <w:p w14:paraId="1AD8516A">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2.习近平总书记在福建工作期间开创的重要理念和重大实践融入大中小</w:t>
      </w:r>
      <w:r>
        <w:rPr>
          <w:rFonts w:hint="eastAsia" w:ascii="仿宋_GB2312" w:hAnsi="仿宋_GB2312" w:eastAsia="仿宋_GB2312" w:cs="仿宋_GB2312"/>
          <w:color w:val="auto"/>
          <w:spacing w:val="0"/>
          <w:sz w:val="32"/>
          <w:szCs w:val="32"/>
          <w:highlight w:val="none"/>
          <w:lang w:eastAsia="zh-CN"/>
        </w:rPr>
        <w:t>学</w:t>
      </w:r>
      <w:r>
        <w:rPr>
          <w:rFonts w:hint="eastAsia" w:ascii="仿宋_GB2312" w:hAnsi="仿宋_GB2312" w:eastAsia="仿宋_GB2312" w:cs="仿宋_GB2312"/>
          <w:color w:val="auto"/>
          <w:spacing w:val="0"/>
          <w:sz w:val="32"/>
          <w:szCs w:val="32"/>
          <w:highlight w:val="none"/>
        </w:rPr>
        <w:t>思政课教学的实践研究</w:t>
      </w:r>
    </w:p>
    <w:p w14:paraId="3229E61E">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3.铸牢中华民族共同体意识教育体系研究</w:t>
      </w:r>
    </w:p>
    <w:p w14:paraId="17905F0D">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4.中小学生红色教育的实践研究</w:t>
      </w:r>
    </w:p>
    <w:p w14:paraId="58EB2AB9">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5.优化区域教育资源配置增强学校德育效能的途径与方法研究</w:t>
      </w:r>
    </w:p>
    <w:p w14:paraId="0BB56977">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6.中小学生网络文明素养培育研究</w:t>
      </w:r>
    </w:p>
    <w:p w14:paraId="30A1391E">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7.中小学生感恩教育的实践研究</w:t>
      </w:r>
    </w:p>
    <w:p w14:paraId="7FD3E8E6">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8.中小学生心理困惑与德育策略研究</w:t>
      </w:r>
    </w:p>
    <w:p w14:paraId="6D4AEC25">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color w:val="auto"/>
          <w:spacing w:val="0"/>
          <w:sz w:val="32"/>
          <w:szCs w:val="32"/>
          <w:highlight w:val="none"/>
        </w:rPr>
        <w:t>9.</w:t>
      </w:r>
      <w:r>
        <w:rPr>
          <w:rFonts w:hint="eastAsia" w:ascii="仿宋_GB2312" w:hAnsi="仿宋_GB2312" w:eastAsia="仿宋_GB2312" w:cs="仿宋_GB2312"/>
          <w:color w:val="auto"/>
          <w:spacing w:val="0"/>
          <w:sz w:val="32"/>
          <w:szCs w:val="32"/>
          <w:highlight w:val="none"/>
          <w:lang w:val="en-US" w:eastAsia="zh-CN"/>
        </w:rPr>
        <w:t>中小学温暖集体构建研究</w:t>
      </w:r>
    </w:p>
    <w:p w14:paraId="65AB05FA">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10.健全学校家庭社会</w:t>
      </w:r>
      <w:r>
        <w:rPr>
          <w:rFonts w:hint="eastAsia" w:ascii="仿宋_GB2312" w:hAnsi="仿宋_GB2312" w:eastAsia="仿宋_GB2312" w:cs="仿宋_GB2312"/>
          <w:color w:val="auto"/>
          <w:spacing w:val="0"/>
          <w:sz w:val="32"/>
          <w:szCs w:val="32"/>
          <w:highlight w:val="none"/>
          <w:lang w:val="en-US" w:eastAsia="zh-CN"/>
        </w:rPr>
        <w:t>协同</w:t>
      </w:r>
      <w:r>
        <w:rPr>
          <w:rFonts w:hint="eastAsia" w:ascii="仿宋_GB2312" w:hAnsi="仿宋_GB2312" w:eastAsia="仿宋_GB2312" w:cs="仿宋_GB2312"/>
          <w:color w:val="auto"/>
          <w:spacing w:val="0"/>
          <w:sz w:val="32"/>
          <w:szCs w:val="32"/>
          <w:highlight w:val="none"/>
        </w:rPr>
        <w:t>育人机制的研究</w:t>
      </w:r>
    </w:p>
    <w:p w14:paraId="710C6A80">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11.新时代中小学师德师风问题与建设策略研究</w:t>
      </w:r>
    </w:p>
    <w:p w14:paraId="27D65073">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12.中小学学科德育实践路径研究</w:t>
      </w:r>
    </w:p>
    <w:p w14:paraId="4139AF87">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13.</w:t>
      </w:r>
      <w:r>
        <w:rPr>
          <w:rFonts w:hint="eastAsia" w:ascii="仿宋_GB2312" w:hAnsi="仿宋_GB2312" w:eastAsia="仿宋_GB2312" w:cs="仿宋_GB2312"/>
          <w:color w:val="auto"/>
          <w:spacing w:val="-6"/>
          <w:sz w:val="32"/>
          <w:szCs w:val="32"/>
          <w:highlight w:val="none"/>
        </w:rPr>
        <w:t>爱国主义教育基地、中小学社会实践基地建设与教育功能研究</w:t>
      </w:r>
    </w:p>
    <w:p w14:paraId="53368663">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14.</w:t>
      </w:r>
      <w:r>
        <w:rPr>
          <w:rFonts w:hint="eastAsia" w:ascii="仿宋_GB2312" w:hAnsi="仿宋_GB2312" w:eastAsia="仿宋_GB2312" w:cs="仿宋_GB2312"/>
          <w:color w:val="auto"/>
          <w:spacing w:val="0"/>
          <w:sz w:val="32"/>
          <w:szCs w:val="32"/>
          <w:highlight w:val="none"/>
          <w:lang w:val="en-US" w:eastAsia="zh-CN"/>
        </w:rPr>
        <w:t>构建学校劳动教育清单</w:t>
      </w:r>
      <w:r>
        <w:rPr>
          <w:rFonts w:hint="eastAsia" w:ascii="仿宋_GB2312" w:hAnsi="仿宋_GB2312" w:eastAsia="仿宋_GB2312" w:cs="仿宋_GB2312"/>
          <w:color w:val="auto"/>
          <w:spacing w:val="0"/>
          <w:sz w:val="32"/>
          <w:szCs w:val="32"/>
          <w:highlight w:val="none"/>
        </w:rPr>
        <w:t>研究</w:t>
      </w:r>
    </w:p>
    <w:p w14:paraId="75475F37">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15.中小学班主任工作室建设研究</w:t>
      </w:r>
    </w:p>
    <w:p w14:paraId="199EFA38">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16.中小学德育成效评价体系建设研究</w:t>
      </w:r>
    </w:p>
    <w:p w14:paraId="6B83A2C3">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17.家长学校的建设与发展研究</w:t>
      </w:r>
    </w:p>
    <w:p w14:paraId="08017795">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18.留守儿童/困境儿童家庭教育研究</w:t>
      </w:r>
    </w:p>
    <w:p w14:paraId="7EEAB08C">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19.大中小思政课一体化建设工作机制研究</w:t>
      </w:r>
    </w:p>
    <w:p w14:paraId="041A63B1">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color w:val="auto"/>
          <w:spacing w:val="0"/>
          <w:sz w:val="32"/>
          <w:szCs w:val="32"/>
          <w:highlight w:val="none"/>
          <w:lang w:val="en-US"/>
        </w:rPr>
      </w:pPr>
      <w:r>
        <w:rPr>
          <w:rFonts w:hint="eastAsia" w:ascii="仿宋_GB2312" w:hAnsi="仿宋_GB2312" w:eastAsia="仿宋_GB2312" w:cs="仿宋_GB2312"/>
          <w:color w:val="auto"/>
          <w:spacing w:val="0"/>
          <w:sz w:val="32"/>
          <w:szCs w:val="32"/>
          <w:highlight w:val="none"/>
        </w:rPr>
        <w:t>20.</w:t>
      </w:r>
      <w:r>
        <w:rPr>
          <w:rFonts w:hint="eastAsia" w:ascii="仿宋_GB2312" w:hAnsi="仿宋_GB2312" w:eastAsia="仿宋_GB2312" w:cs="仿宋_GB2312"/>
          <w:color w:val="auto"/>
          <w:spacing w:val="0"/>
          <w:sz w:val="32"/>
          <w:szCs w:val="32"/>
          <w:highlight w:val="none"/>
          <w:lang w:val="en-US" w:eastAsia="zh-CN"/>
        </w:rPr>
        <w:t>中小学</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lang w:val="en-US" w:eastAsia="zh-CN"/>
        </w:rPr>
        <w:t>行走的思政课”机制建设研究</w:t>
      </w:r>
    </w:p>
    <w:p w14:paraId="6DD313AC">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21.“行见八闽”大思政课研学实践圈建设研究</w:t>
      </w:r>
    </w:p>
    <w:p w14:paraId="5AE569FD">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22.中小学思政学科核心素养培养策略研究</w:t>
      </w:r>
    </w:p>
    <w:p w14:paraId="29007CCE">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23.中小学思政课加强中华优秀传统文化教育研究</w:t>
      </w:r>
    </w:p>
    <w:p w14:paraId="32D55849">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24.地方文化资源融入中小学思政课教学的实践研究</w:t>
      </w:r>
    </w:p>
    <w:p w14:paraId="596DBB7C">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25.课程思政与思政课程协同育人的策略研究</w:t>
      </w:r>
    </w:p>
    <w:p w14:paraId="315D8F69">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楷体_GB2312" w:hAnsi="楷体_GB2312" w:eastAsia="楷体_GB2312" w:cs="楷体_GB2312"/>
          <w:b/>
          <w:bCs/>
          <w:color w:val="auto"/>
          <w:spacing w:val="0"/>
          <w:sz w:val="32"/>
          <w:szCs w:val="32"/>
          <w:highlight w:val="none"/>
        </w:rPr>
        <w:t>（二）高质量基础教育体系建设研究</w:t>
      </w:r>
    </w:p>
    <w:p w14:paraId="47B7530E">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26.基础教育赋能新质生产力研究</w:t>
      </w:r>
    </w:p>
    <w:p w14:paraId="49BA2692">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27.深化基础教育综合改革研究</w:t>
      </w:r>
    </w:p>
    <w:p w14:paraId="31BA2184">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28.推动</w:t>
      </w:r>
      <w:r>
        <w:rPr>
          <w:rFonts w:hint="eastAsia" w:ascii="仿宋_GB2312" w:hAnsi="仿宋_GB2312" w:eastAsia="仿宋_GB2312" w:cs="仿宋_GB2312"/>
          <w:color w:val="auto"/>
          <w:spacing w:val="0"/>
          <w:sz w:val="32"/>
          <w:szCs w:val="32"/>
          <w:highlight w:val="none"/>
          <w:lang w:eastAsia="zh-CN"/>
        </w:rPr>
        <w:t>县</w:t>
      </w:r>
      <w:r>
        <w:rPr>
          <w:rFonts w:hint="eastAsia" w:ascii="仿宋_GB2312" w:hAnsi="仿宋_GB2312" w:eastAsia="仿宋_GB2312" w:cs="仿宋_GB2312"/>
          <w:color w:val="auto"/>
          <w:spacing w:val="0"/>
          <w:sz w:val="32"/>
          <w:szCs w:val="32"/>
          <w:highlight w:val="none"/>
        </w:rPr>
        <w:t>域义务教育优质均衡发展研究</w:t>
      </w:r>
    </w:p>
    <w:p w14:paraId="723019CF">
      <w:pPr>
        <w:keepNext w:val="0"/>
        <w:keepLines w:val="0"/>
        <w:pageBreakBefore w:val="0"/>
        <w:kinsoku/>
        <w:wordWrap/>
        <w:overflowPunct/>
        <w:topLinePunct w:val="0"/>
        <w:autoSpaceDE/>
        <w:autoSpaceDN/>
        <w:bidi w:val="0"/>
        <w:adjustRightInd/>
        <w:snapToGrid/>
        <w:spacing w:line="600" w:lineRule="exact"/>
        <w:ind w:left="316" w:hanging="320" w:hangingChars="10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29.义务教育课程方案和课程标准（2022版）与基础教育各学科课程教学改革研究</w:t>
      </w:r>
    </w:p>
    <w:p w14:paraId="68CC3037">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30.跨学科课程深度融合应用研究</w:t>
      </w:r>
    </w:p>
    <w:p w14:paraId="2000FE3D">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31.“双减”背景下做好科学教育加法研究</w:t>
      </w:r>
    </w:p>
    <w:p w14:paraId="085B3A7D">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32.“双减”背景下课堂教学提质增效研究</w:t>
      </w:r>
    </w:p>
    <w:p w14:paraId="16BF3FCD">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33.“双减”背景下课后服务能力提升研究</w:t>
      </w:r>
    </w:p>
    <w:p w14:paraId="7B32532F">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34.“双减”背景下区域教育生态建设研究</w:t>
      </w:r>
    </w:p>
    <w:p w14:paraId="5FE3D9F6">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35.“双减”背景下乡村教育振兴研究</w:t>
      </w:r>
    </w:p>
    <w:p w14:paraId="0A92BFB2">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3</w:t>
      </w:r>
      <w:r>
        <w:rPr>
          <w:rFonts w:hint="eastAsia" w:ascii="仿宋_GB2312" w:hAnsi="仿宋_GB2312" w:eastAsia="仿宋_GB2312" w:cs="仿宋_GB2312"/>
          <w:color w:val="auto"/>
          <w:spacing w:val="0"/>
          <w:sz w:val="32"/>
          <w:szCs w:val="32"/>
          <w:highlight w:val="none"/>
          <w:lang w:val="en-US" w:eastAsia="zh-CN"/>
        </w:rPr>
        <w:t>6</w:t>
      </w:r>
      <w:r>
        <w:rPr>
          <w:rFonts w:hint="eastAsia" w:ascii="仿宋_GB2312" w:hAnsi="仿宋_GB2312" w:eastAsia="仿宋_GB2312" w:cs="仿宋_GB2312"/>
          <w:color w:val="auto"/>
          <w:spacing w:val="0"/>
          <w:sz w:val="32"/>
          <w:szCs w:val="32"/>
          <w:highlight w:val="none"/>
        </w:rPr>
        <w:t>.加强县域普通高中教育质量研究</w:t>
      </w:r>
    </w:p>
    <w:p w14:paraId="3AC25E69">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37</w:t>
      </w:r>
      <w:r>
        <w:rPr>
          <w:rFonts w:hint="eastAsia" w:ascii="仿宋_GB2312" w:hAnsi="仿宋_GB2312" w:eastAsia="仿宋_GB2312" w:cs="仿宋_GB2312"/>
          <w:color w:val="auto"/>
          <w:spacing w:val="0"/>
          <w:sz w:val="32"/>
          <w:szCs w:val="32"/>
          <w:highlight w:val="none"/>
        </w:rPr>
        <w:t>.学前教育改革与发展趋势研究</w:t>
      </w:r>
    </w:p>
    <w:p w14:paraId="2169E3B5">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38</w:t>
      </w:r>
      <w:r>
        <w:rPr>
          <w:rFonts w:hint="eastAsia" w:ascii="仿宋_GB2312" w:hAnsi="仿宋_GB2312" w:eastAsia="仿宋_GB2312" w:cs="仿宋_GB2312"/>
          <w:color w:val="auto"/>
          <w:spacing w:val="0"/>
          <w:sz w:val="32"/>
          <w:szCs w:val="32"/>
          <w:highlight w:val="none"/>
        </w:rPr>
        <w:t>.</w:t>
      </w:r>
      <w:r>
        <w:rPr>
          <w:rFonts w:hint="eastAsia" w:ascii="仿宋_GB2312" w:hAnsi="仿宋_GB2312" w:eastAsia="仿宋_GB2312" w:cs="仿宋_GB2312"/>
          <w:color w:val="auto"/>
          <w:spacing w:val="0"/>
          <w:sz w:val="32"/>
          <w:szCs w:val="32"/>
          <w:highlight w:val="none"/>
          <w:lang w:val="en-US" w:eastAsia="zh-CN"/>
        </w:rPr>
        <w:t>特殊教育优质融合发展研究</w:t>
      </w:r>
    </w:p>
    <w:p w14:paraId="6B999A1F">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left"/>
        <w:textAlignment w:val="auto"/>
        <w:rPr>
          <w:rFonts w:hint="default" w:eastAsia="仿宋_GB2312"/>
          <w:lang w:val="en-US" w:eastAsia="zh-CN"/>
        </w:rPr>
      </w:pPr>
      <w:r>
        <w:rPr>
          <w:rFonts w:hint="eastAsia" w:ascii="仿宋_GB2312" w:hAnsi="仿宋_GB2312" w:eastAsia="仿宋_GB2312" w:cs="仿宋_GB2312"/>
          <w:color w:val="auto"/>
          <w:spacing w:val="0"/>
          <w:sz w:val="32"/>
          <w:szCs w:val="32"/>
          <w:highlight w:val="none"/>
          <w:lang w:val="en-US" w:eastAsia="zh-CN"/>
        </w:rPr>
        <w:t>39.专门教育发展研究</w:t>
      </w:r>
    </w:p>
    <w:p w14:paraId="4116973A">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40</w:t>
      </w:r>
      <w:r>
        <w:rPr>
          <w:rFonts w:hint="eastAsia" w:ascii="仿宋_GB2312" w:hAnsi="仿宋_GB2312" w:eastAsia="仿宋_GB2312" w:cs="仿宋_GB2312"/>
          <w:color w:val="auto"/>
          <w:spacing w:val="0"/>
          <w:sz w:val="32"/>
          <w:szCs w:val="32"/>
          <w:highlight w:val="none"/>
        </w:rPr>
        <w:t>.中小学区域（集团/学区/</w:t>
      </w:r>
      <w:r>
        <w:rPr>
          <w:rFonts w:hint="eastAsia" w:ascii="仿宋_GB2312" w:hAnsi="仿宋_GB2312" w:eastAsia="仿宋_GB2312" w:cs="仿宋_GB2312"/>
          <w:color w:val="auto"/>
          <w:spacing w:val="0"/>
          <w:sz w:val="32"/>
          <w:szCs w:val="32"/>
          <w:highlight w:val="none"/>
          <w:lang w:val="en-US" w:eastAsia="zh-CN"/>
        </w:rPr>
        <w:t>教共体</w:t>
      </w:r>
      <w:r>
        <w:rPr>
          <w:rFonts w:hint="eastAsia" w:ascii="仿宋_GB2312" w:hAnsi="仿宋_GB2312" w:eastAsia="仿宋_GB2312" w:cs="仿宋_GB2312"/>
          <w:color w:val="auto"/>
          <w:spacing w:val="0"/>
          <w:sz w:val="32"/>
          <w:szCs w:val="32"/>
          <w:highlight w:val="none"/>
        </w:rPr>
        <w:t>）联动教研机制创新研究</w:t>
      </w:r>
    </w:p>
    <w:p w14:paraId="4DB7E477">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4</w:t>
      </w:r>
      <w:r>
        <w:rPr>
          <w:rFonts w:hint="eastAsia" w:ascii="仿宋_GB2312" w:hAnsi="仿宋_GB2312" w:eastAsia="仿宋_GB2312" w:cs="仿宋_GB2312"/>
          <w:color w:val="auto"/>
          <w:spacing w:val="0"/>
          <w:sz w:val="32"/>
          <w:szCs w:val="32"/>
          <w:highlight w:val="none"/>
          <w:lang w:val="en-US" w:eastAsia="zh-CN"/>
        </w:rPr>
        <w:t>1</w:t>
      </w:r>
      <w:r>
        <w:rPr>
          <w:rFonts w:hint="eastAsia" w:ascii="仿宋_GB2312" w:hAnsi="仿宋_GB2312" w:eastAsia="仿宋_GB2312" w:cs="仿宋_GB2312"/>
          <w:color w:val="auto"/>
          <w:spacing w:val="0"/>
          <w:sz w:val="32"/>
          <w:szCs w:val="32"/>
          <w:highlight w:val="none"/>
        </w:rPr>
        <w:t>.基础教育各学段</w:t>
      </w:r>
      <w:r>
        <w:rPr>
          <w:rFonts w:hint="eastAsia" w:ascii="仿宋_GB2312" w:hAnsi="仿宋_GB2312" w:eastAsia="仿宋_GB2312" w:cs="仿宋_GB2312"/>
          <w:color w:val="auto"/>
          <w:spacing w:val="0"/>
          <w:sz w:val="32"/>
          <w:szCs w:val="32"/>
          <w:highlight w:val="none"/>
          <w:lang w:val="en-US" w:eastAsia="zh-CN"/>
        </w:rPr>
        <w:t>办学</w:t>
      </w:r>
      <w:r>
        <w:rPr>
          <w:rFonts w:hint="eastAsia" w:ascii="仿宋_GB2312" w:hAnsi="仿宋_GB2312" w:eastAsia="仿宋_GB2312" w:cs="仿宋_GB2312"/>
          <w:color w:val="auto"/>
          <w:spacing w:val="0"/>
          <w:sz w:val="32"/>
          <w:szCs w:val="32"/>
          <w:highlight w:val="none"/>
        </w:rPr>
        <w:t>质量评价研究</w:t>
      </w:r>
    </w:p>
    <w:p w14:paraId="4AFD1ECF">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42</w:t>
      </w:r>
      <w:r>
        <w:rPr>
          <w:rFonts w:hint="eastAsia" w:ascii="仿宋_GB2312" w:hAnsi="仿宋_GB2312" w:eastAsia="仿宋_GB2312" w:cs="仿宋_GB2312"/>
          <w:color w:val="auto"/>
          <w:spacing w:val="0"/>
          <w:sz w:val="32"/>
          <w:szCs w:val="32"/>
          <w:highlight w:val="none"/>
        </w:rPr>
        <w:t>.</w:t>
      </w:r>
      <w:r>
        <w:rPr>
          <w:rFonts w:hint="eastAsia" w:ascii="仿宋_GB2312" w:hAnsi="仿宋_GB2312" w:eastAsia="仿宋_GB2312" w:cs="仿宋_GB2312"/>
          <w:color w:val="auto"/>
          <w:spacing w:val="0"/>
          <w:sz w:val="32"/>
          <w:szCs w:val="32"/>
          <w:highlight w:val="none"/>
          <w:lang w:val="en-US" w:eastAsia="zh-CN"/>
        </w:rPr>
        <w:t>义务教育、</w:t>
      </w:r>
      <w:r>
        <w:rPr>
          <w:rFonts w:hint="eastAsia" w:ascii="仿宋_GB2312" w:hAnsi="仿宋_GB2312" w:eastAsia="仿宋_GB2312" w:cs="仿宋_GB2312"/>
          <w:color w:val="auto"/>
          <w:spacing w:val="0"/>
          <w:sz w:val="32"/>
          <w:szCs w:val="32"/>
          <w:highlight w:val="none"/>
        </w:rPr>
        <w:t>普通高中新课程新教材实施研究</w:t>
      </w:r>
    </w:p>
    <w:p w14:paraId="4603BFCA">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43</w:t>
      </w:r>
      <w:r>
        <w:rPr>
          <w:rFonts w:hint="eastAsia" w:ascii="仿宋_GB2312" w:hAnsi="仿宋_GB2312" w:eastAsia="仿宋_GB2312" w:cs="仿宋_GB2312"/>
          <w:color w:val="auto"/>
          <w:spacing w:val="0"/>
          <w:sz w:val="32"/>
          <w:szCs w:val="32"/>
          <w:highlight w:val="none"/>
        </w:rPr>
        <w:t>.教育数字化转型背景下教育教学模式改革研究</w:t>
      </w:r>
    </w:p>
    <w:p w14:paraId="7C4561EA">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楷体_GB2312" w:hAnsi="楷体_GB2312" w:eastAsia="楷体_GB2312" w:cs="楷体_GB2312"/>
          <w:b/>
          <w:bCs/>
          <w:color w:val="auto"/>
          <w:spacing w:val="0"/>
          <w:sz w:val="32"/>
          <w:szCs w:val="32"/>
          <w:highlight w:val="none"/>
        </w:rPr>
      </w:pPr>
      <w:r>
        <w:rPr>
          <w:rFonts w:hint="eastAsia" w:ascii="楷体_GB2312" w:hAnsi="楷体_GB2312" w:eastAsia="楷体_GB2312" w:cs="楷体_GB2312"/>
          <w:b/>
          <w:bCs/>
          <w:color w:val="auto"/>
          <w:spacing w:val="0"/>
          <w:sz w:val="32"/>
          <w:szCs w:val="32"/>
          <w:highlight w:val="none"/>
        </w:rPr>
        <w:t>（三）基础教育教师队伍建设研究</w:t>
      </w:r>
    </w:p>
    <w:p w14:paraId="72D4D2BA">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44.以教育家精神引领高素质教师队伍建设研究</w:t>
      </w:r>
    </w:p>
    <w:p w14:paraId="16146736">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45.“强师计划”与“四有”好老师培养研究</w:t>
      </w:r>
    </w:p>
    <w:p w14:paraId="37E59B5B">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46.减轻中小学教师非教学负担策略研究</w:t>
      </w:r>
    </w:p>
    <w:p w14:paraId="1A70BA3E">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47.“双减”背景下教师专业成长研究</w:t>
      </w:r>
    </w:p>
    <w:p w14:paraId="19B33F7E">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48.教师专业成长课程资源建设研究</w:t>
      </w:r>
    </w:p>
    <w:p w14:paraId="33BDDB02">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49.乡村学校教师和校长能力素质提升培养研究</w:t>
      </w:r>
    </w:p>
    <w:p w14:paraId="14284C96">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50.新时代基础教育教师培训质量提升研究</w:t>
      </w:r>
    </w:p>
    <w:p w14:paraId="07F7EB0C">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spacing w:val="0"/>
          <w:sz w:val="32"/>
          <w:szCs w:val="32"/>
          <w:highlight w:val="none"/>
        </w:rPr>
      </w:pPr>
      <w:r>
        <w:rPr>
          <w:rFonts w:hint="eastAsia" w:ascii="黑体" w:hAnsi="黑体" w:eastAsia="黑体" w:cs="黑体"/>
          <w:color w:val="auto"/>
          <w:spacing w:val="0"/>
          <w:sz w:val="32"/>
          <w:szCs w:val="32"/>
          <w:highlight w:val="none"/>
        </w:rPr>
        <w:t>三、福建省中青年教师教育科研项目世界语言与文化研究专项</w:t>
      </w:r>
    </w:p>
    <w:p w14:paraId="0F4A98FC">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kern w:val="0"/>
          <w:sz w:val="32"/>
          <w:szCs w:val="32"/>
          <w:highlight w:val="none"/>
          <w:lang w:val="en-US" w:eastAsia="zh-CN" w:bidi="ar-SA"/>
        </w:rPr>
      </w:pPr>
      <w:r>
        <w:rPr>
          <w:rFonts w:hint="eastAsia" w:ascii="仿宋_GB2312" w:hAnsi="仿宋_GB2312" w:eastAsia="仿宋_GB2312" w:cs="仿宋_GB2312"/>
          <w:color w:val="auto"/>
          <w:spacing w:val="0"/>
          <w:kern w:val="0"/>
          <w:sz w:val="32"/>
          <w:szCs w:val="32"/>
          <w:highlight w:val="none"/>
          <w:lang w:val="en-US" w:eastAsia="zh-CN" w:bidi="ar-SA"/>
        </w:rPr>
        <w:t>1.中国式现代化中语言与文化的自信建设研究</w:t>
      </w:r>
    </w:p>
    <w:p w14:paraId="29C1547F">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kern w:val="0"/>
          <w:sz w:val="32"/>
          <w:szCs w:val="32"/>
          <w:highlight w:val="none"/>
          <w:lang w:val="en-US" w:eastAsia="zh-CN" w:bidi="ar-SA"/>
        </w:rPr>
      </w:pPr>
      <w:r>
        <w:rPr>
          <w:rFonts w:hint="eastAsia" w:ascii="仿宋_GB2312" w:hAnsi="仿宋_GB2312" w:eastAsia="仿宋_GB2312" w:cs="仿宋_GB2312"/>
          <w:color w:val="auto"/>
          <w:spacing w:val="0"/>
          <w:kern w:val="0"/>
          <w:sz w:val="32"/>
          <w:szCs w:val="32"/>
          <w:highlight w:val="none"/>
          <w:lang w:val="en-US" w:eastAsia="zh-CN" w:bidi="ar-SA"/>
        </w:rPr>
        <w:t>2.一带一路建设背景下的福建省区域多元外语教育政策研究</w:t>
      </w:r>
    </w:p>
    <w:p w14:paraId="372ABF2D">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kern w:val="0"/>
          <w:sz w:val="32"/>
          <w:szCs w:val="32"/>
          <w:highlight w:val="none"/>
          <w:lang w:val="en-US" w:eastAsia="zh-CN" w:bidi="ar-SA"/>
        </w:rPr>
      </w:pPr>
      <w:r>
        <w:rPr>
          <w:rFonts w:hint="eastAsia" w:ascii="仿宋_GB2312" w:hAnsi="仿宋_GB2312" w:eastAsia="仿宋_GB2312" w:cs="仿宋_GB2312"/>
          <w:color w:val="auto"/>
          <w:spacing w:val="0"/>
          <w:kern w:val="0"/>
          <w:sz w:val="32"/>
          <w:szCs w:val="32"/>
          <w:highlight w:val="none"/>
          <w:lang w:val="en-US" w:eastAsia="zh-CN" w:bidi="ar-SA"/>
        </w:rPr>
        <w:t>3.一带一路建设与“外语+”人才培养的创新路径研究</w:t>
      </w:r>
    </w:p>
    <w:p w14:paraId="7018C2D8">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kern w:val="0"/>
          <w:sz w:val="32"/>
          <w:szCs w:val="32"/>
          <w:highlight w:val="none"/>
          <w:lang w:val="en-US" w:eastAsia="zh-CN" w:bidi="ar-SA"/>
        </w:rPr>
      </w:pPr>
      <w:r>
        <w:rPr>
          <w:rFonts w:hint="eastAsia" w:ascii="仿宋_GB2312" w:hAnsi="仿宋_GB2312" w:eastAsia="仿宋_GB2312" w:cs="仿宋_GB2312"/>
          <w:color w:val="auto"/>
          <w:spacing w:val="0"/>
          <w:kern w:val="0"/>
          <w:sz w:val="32"/>
          <w:szCs w:val="32"/>
          <w:highlight w:val="none"/>
          <w:lang w:val="en-US" w:eastAsia="zh-CN" w:bidi="ar-SA"/>
        </w:rPr>
        <w:t>4.福建省地域文化、方言对外传播研究</w:t>
      </w:r>
    </w:p>
    <w:p w14:paraId="49F0E979">
      <w:pPr>
        <w:pStyle w:val="3"/>
        <w:keepNext w:val="0"/>
        <w:keepLines w:val="0"/>
        <w:pageBreakBefore w:val="0"/>
        <w:kinsoku/>
        <w:wordWrap/>
        <w:overflowPunct/>
        <w:topLinePunct w:val="0"/>
        <w:autoSpaceDE/>
        <w:autoSpaceDN/>
        <w:bidi w:val="0"/>
        <w:adjustRightInd/>
        <w:snapToGrid/>
        <w:spacing w:after="0" w:line="600" w:lineRule="exact"/>
        <w:ind w:left="0" w:leftChars="0" w:firstLine="0" w:firstLineChars="0"/>
        <w:jc w:val="left"/>
        <w:textAlignment w:val="auto"/>
        <w:rPr>
          <w:rFonts w:hint="eastAsia" w:ascii="仿宋_GB2312" w:hAnsi="仿宋_GB2312" w:eastAsia="仿宋_GB2312" w:cs="仿宋_GB2312"/>
          <w:color w:val="auto"/>
          <w:spacing w:val="0"/>
          <w:kern w:val="0"/>
          <w:sz w:val="32"/>
          <w:szCs w:val="32"/>
          <w:highlight w:val="none"/>
          <w:lang w:val="en-US" w:eastAsia="zh-CN" w:bidi="ar-SA"/>
        </w:rPr>
      </w:pPr>
      <w:r>
        <w:rPr>
          <w:rFonts w:hint="eastAsia" w:ascii="仿宋_GB2312" w:hAnsi="仿宋_GB2312" w:eastAsia="仿宋_GB2312" w:cs="仿宋_GB2312"/>
          <w:color w:val="auto"/>
          <w:spacing w:val="0"/>
          <w:kern w:val="0"/>
          <w:sz w:val="32"/>
          <w:szCs w:val="32"/>
          <w:highlight w:val="none"/>
          <w:lang w:val="en-US" w:eastAsia="zh-CN" w:bidi="ar-SA"/>
        </w:rPr>
        <w:t>5.福建方言对东南亚国家和地区语言的影响研究</w:t>
      </w:r>
    </w:p>
    <w:p w14:paraId="5DABE317">
      <w:pPr>
        <w:pStyle w:val="3"/>
        <w:keepNext w:val="0"/>
        <w:keepLines w:val="0"/>
        <w:pageBreakBefore w:val="0"/>
        <w:kinsoku/>
        <w:wordWrap/>
        <w:overflowPunct/>
        <w:topLinePunct w:val="0"/>
        <w:autoSpaceDE/>
        <w:autoSpaceDN/>
        <w:bidi w:val="0"/>
        <w:adjustRightInd/>
        <w:snapToGrid/>
        <w:spacing w:after="0" w:line="600" w:lineRule="exact"/>
        <w:ind w:left="0" w:leftChars="0" w:firstLine="0" w:firstLineChars="0"/>
        <w:jc w:val="left"/>
        <w:textAlignment w:val="auto"/>
        <w:rPr>
          <w:rFonts w:hint="default" w:ascii="仿宋_GB2312" w:hAnsi="仿宋_GB2312" w:eastAsia="仿宋_GB2312" w:cs="仿宋_GB2312"/>
          <w:color w:val="auto"/>
          <w:spacing w:val="0"/>
          <w:kern w:val="0"/>
          <w:sz w:val="32"/>
          <w:szCs w:val="32"/>
          <w:highlight w:val="none"/>
          <w:lang w:val="en-US" w:eastAsia="zh-CN" w:bidi="ar-SA"/>
        </w:rPr>
      </w:pPr>
      <w:r>
        <w:rPr>
          <w:rFonts w:hint="eastAsia" w:ascii="仿宋_GB2312" w:hAnsi="仿宋_GB2312" w:eastAsia="仿宋_GB2312" w:cs="仿宋_GB2312"/>
          <w:color w:val="auto"/>
          <w:spacing w:val="0"/>
          <w:kern w:val="0"/>
          <w:sz w:val="32"/>
          <w:szCs w:val="32"/>
          <w:highlight w:val="none"/>
          <w:lang w:val="en-US" w:eastAsia="zh-CN" w:bidi="ar-SA"/>
        </w:rPr>
        <w:t>6.语言助推中国文化在东南亚的多样化传播研究</w:t>
      </w:r>
    </w:p>
    <w:p w14:paraId="1167F125">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color w:val="auto"/>
          <w:spacing w:val="0"/>
          <w:kern w:val="0"/>
          <w:sz w:val="32"/>
          <w:szCs w:val="32"/>
          <w:highlight w:val="none"/>
          <w:lang w:val="en-US" w:eastAsia="zh-CN" w:bidi="ar-SA"/>
        </w:rPr>
      </w:pPr>
      <w:r>
        <w:rPr>
          <w:rFonts w:hint="eastAsia" w:ascii="仿宋_GB2312" w:hAnsi="仿宋_GB2312" w:eastAsia="仿宋_GB2312" w:cs="仿宋_GB2312"/>
          <w:color w:val="auto"/>
          <w:spacing w:val="0"/>
          <w:kern w:val="0"/>
          <w:sz w:val="32"/>
          <w:szCs w:val="32"/>
          <w:highlight w:val="none"/>
          <w:lang w:val="en-US" w:eastAsia="zh-CN" w:bidi="ar-SA"/>
        </w:rPr>
        <w:t>7.闽南话、客家话在闽台的流布发展研究</w:t>
      </w:r>
    </w:p>
    <w:p w14:paraId="26820A6C">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kern w:val="0"/>
          <w:sz w:val="32"/>
          <w:szCs w:val="32"/>
          <w:highlight w:val="none"/>
          <w:lang w:val="en-US" w:eastAsia="zh-CN" w:bidi="ar-SA"/>
        </w:rPr>
      </w:pPr>
      <w:r>
        <w:rPr>
          <w:rFonts w:hint="eastAsia" w:ascii="仿宋_GB2312" w:hAnsi="仿宋_GB2312" w:eastAsia="仿宋_GB2312" w:cs="仿宋_GB2312"/>
          <w:color w:val="auto"/>
          <w:spacing w:val="0"/>
          <w:kern w:val="0"/>
          <w:sz w:val="32"/>
          <w:szCs w:val="32"/>
          <w:highlight w:val="none"/>
          <w:lang w:val="en-US" w:eastAsia="zh-CN" w:bidi="ar-SA"/>
        </w:rPr>
        <w:t>8.基于中华文化认同的海峡两岸语言与文化研究</w:t>
      </w:r>
    </w:p>
    <w:p w14:paraId="1666953B">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kern w:val="0"/>
          <w:sz w:val="32"/>
          <w:szCs w:val="32"/>
          <w:highlight w:val="none"/>
          <w:lang w:val="en-US" w:eastAsia="zh-CN" w:bidi="ar-SA"/>
        </w:rPr>
      </w:pPr>
      <w:r>
        <w:rPr>
          <w:rFonts w:hint="eastAsia" w:ascii="仿宋_GB2312" w:hAnsi="仿宋_GB2312" w:eastAsia="仿宋_GB2312" w:cs="仿宋_GB2312"/>
          <w:color w:val="auto"/>
          <w:spacing w:val="0"/>
          <w:kern w:val="0"/>
          <w:sz w:val="32"/>
          <w:szCs w:val="32"/>
          <w:highlight w:val="none"/>
          <w:lang w:val="en-US" w:eastAsia="zh-CN" w:bidi="ar-SA"/>
        </w:rPr>
        <w:t>9.闽台语言与文化的交融性和交互性研究</w:t>
      </w:r>
    </w:p>
    <w:p w14:paraId="1D3F3221">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left"/>
        <w:textAlignment w:val="auto"/>
        <w:rPr>
          <w:rFonts w:hint="default"/>
          <w:lang w:val="en-US" w:eastAsia="zh-CN"/>
        </w:rPr>
      </w:pPr>
      <w:r>
        <w:rPr>
          <w:rFonts w:hint="eastAsia" w:ascii="仿宋_GB2312" w:hAnsi="仿宋_GB2312" w:eastAsia="仿宋_GB2312" w:cs="仿宋_GB2312"/>
          <w:color w:val="auto"/>
          <w:spacing w:val="0"/>
          <w:kern w:val="0"/>
          <w:sz w:val="32"/>
          <w:szCs w:val="32"/>
          <w:highlight w:val="none"/>
          <w:lang w:val="en-US" w:eastAsia="zh-CN" w:bidi="ar-SA"/>
        </w:rPr>
        <w:t>10.区域国别研究中的语言能力建设</w:t>
      </w:r>
    </w:p>
    <w:p w14:paraId="2BB9D5AE">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kern w:val="0"/>
          <w:sz w:val="32"/>
          <w:szCs w:val="32"/>
          <w:highlight w:val="none"/>
          <w:lang w:val="en-US" w:eastAsia="zh-CN" w:bidi="ar-SA"/>
        </w:rPr>
      </w:pPr>
      <w:r>
        <w:rPr>
          <w:rFonts w:hint="eastAsia" w:ascii="仿宋_GB2312" w:hAnsi="仿宋_GB2312" w:eastAsia="仿宋_GB2312" w:cs="仿宋_GB2312"/>
          <w:color w:val="auto"/>
          <w:spacing w:val="0"/>
          <w:kern w:val="0"/>
          <w:sz w:val="32"/>
          <w:szCs w:val="32"/>
          <w:highlight w:val="none"/>
          <w:lang w:val="en-US" w:eastAsia="zh-CN" w:bidi="ar-SA"/>
        </w:rPr>
        <w:t>11.国际传播力与对外话语体系建设研究</w:t>
      </w:r>
    </w:p>
    <w:p w14:paraId="700DBFE9">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kern w:val="0"/>
          <w:sz w:val="32"/>
          <w:szCs w:val="32"/>
          <w:highlight w:val="none"/>
          <w:lang w:val="en-US" w:eastAsia="zh-CN" w:bidi="ar-SA"/>
        </w:rPr>
      </w:pPr>
      <w:r>
        <w:rPr>
          <w:rFonts w:hint="eastAsia" w:ascii="仿宋_GB2312" w:hAnsi="仿宋_GB2312" w:eastAsia="仿宋_GB2312" w:cs="仿宋_GB2312"/>
          <w:color w:val="auto"/>
          <w:spacing w:val="0"/>
          <w:kern w:val="0"/>
          <w:sz w:val="32"/>
          <w:szCs w:val="32"/>
          <w:highlight w:val="none"/>
          <w:lang w:val="en-US" w:eastAsia="zh-CN" w:bidi="ar-SA"/>
        </w:rPr>
        <w:t>12.世界文化与国际理解研究</w:t>
      </w:r>
    </w:p>
    <w:p w14:paraId="171C8B2C">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kern w:val="0"/>
          <w:sz w:val="32"/>
          <w:szCs w:val="32"/>
          <w:highlight w:val="none"/>
          <w:lang w:val="en-US" w:eastAsia="zh-CN" w:bidi="ar-SA"/>
        </w:rPr>
      </w:pPr>
      <w:r>
        <w:rPr>
          <w:rFonts w:hint="eastAsia" w:ascii="仿宋_GB2312" w:hAnsi="仿宋_GB2312" w:eastAsia="仿宋_GB2312" w:cs="仿宋_GB2312"/>
          <w:color w:val="auto"/>
          <w:spacing w:val="0"/>
          <w:kern w:val="0"/>
          <w:sz w:val="32"/>
          <w:szCs w:val="32"/>
          <w:highlight w:val="none"/>
          <w:lang w:val="en-US" w:eastAsia="zh-CN" w:bidi="ar-SA"/>
        </w:rPr>
        <w:t>13.外语教育及教学研究</w:t>
      </w:r>
    </w:p>
    <w:p w14:paraId="481FA510">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kern w:val="0"/>
          <w:sz w:val="32"/>
          <w:szCs w:val="32"/>
          <w:highlight w:val="none"/>
          <w:lang w:val="en-US" w:eastAsia="zh-CN" w:bidi="ar-SA"/>
        </w:rPr>
      </w:pPr>
      <w:r>
        <w:rPr>
          <w:rFonts w:hint="eastAsia" w:ascii="仿宋_GB2312" w:hAnsi="仿宋_GB2312" w:eastAsia="仿宋_GB2312" w:cs="仿宋_GB2312"/>
          <w:color w:val="auto"/>
          <w:spacing w:val="0"/>
          <w:kern w:val="0"/>
          <w:sz w:val="32"/>
          <w:szCs w:val="32"/>
          <w:highlight w:val="none"/>
          <w:lang w:val="en-US" w:eastAsia="zh-CN" w:bidi="ar-SA"/>
        </w:rPr>
        <w:t>14.外语教材与测试研究</w:t>
      </w:r>
    </w:p>
    <w:p w14:paraId="28775CCF">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kern w:val="0"/>
          <w:sz w:val="32"/>
          <w:szCs w:val="32"/>
          <w:highlight w:val="none"/>
          <w:lang w:val="en-US" w:eastAsia="zh-CN" w:bidi="ar-SA"/>
        </w:rPr>
      </w:pPr>
      <w:r>
        <w:rPr>
          <w:rFonts w:hint="eastAsia" w:ascii="仿宋_GB2312" w:hAnsi="仿宋_GB2312" w:eastAsia="仿宋_GB2312" w:cs="仿宋_GB2312"/>
          <w:color w:val="auto"/>
          <w:spacing w:val="0"/>
          <w:kern w:val="0"/>
          <w:sz w:val="32"/>
          <w:szCs w:val="32"/>
          <w:highlight w:val="none"/>
          <w:lang w:val="en-US" w:eastAsia="zh-CN" w:bidi="ar-SA"/>
        </w:rPr>
        <w:t>15.新媒体推动语言与文化传播路径研究</w:t>
      </w:r>
    </w:p>
    <w:p w14:paraId="1F459BB4">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方正小标宋简体" w:hAnsi="方正小标宋简体" w:eastAsia="方正小标宋简体" w:cs="方正小标宋简体"/>
          <w:bCs/>
          <w:color w:val="auto"/>
          <w:spacing w:val="0"/>
          <w:sz w:val="32"/>
          <w:szCs w:val="32"/>
          <w:highlight w:val="none"/>
          <w:lang w:val="en-US" w:eastAsia="zh-CN"/>
        </w:rPr>
      </w:pPr>
      <w:r>
        <w:rPr>
          <w:rFonts w:hint="eastAsia" w:ascii="黑体" w:hAnsi="黑体" w:eastAsia="黑体" w:cs="黑体"/>
          <w:color w:val="auto"/>
          <w:spacing w:val="0"/>
          <w:sz w:val="32"/>
          <w:szCs w:val="32"/>
          <w:highlight w:val="none"/>
          <w:lang w:eastAsia="zh-CN"/>
        </w:rPr>
        <w:t>四</w:t>
      </w:r>
      <w:r>
        <w:rPr>
          <w:rFonts w:hint="eastAsia" w:ascii="黑体" w:hAnsi="黑体" w:eastAsia="黑体" w:cs="黑体"/>
          <w:color w:val="auto"/>
          <w:spacing w:val="0"/>
          <w:sz w:val="32"/>
          <w:szCs w:val="32"/>
          <w:highlight w:val="none"/>
        </w:rPr>
        <w:t>、福建省中青年教师教育科研项目</w:t>
      </w:r>
      <w:r>
        <w:rPr>
          <w:rFonts w:hint="eastAsia" w:ascii="黑体" w:hAnsi="黑体" w:eastAsia="黑体" w:cs="黑体"/>
          <w:color w:val="auto"/>
          <w:spacing w:val="0"/>
          <w:sz w:val="32"/>
          <w:szCs w:val="32"/>
          <w:highlight w:val="none"/>
          <w:lang w:val="en-US" w:eastAsia="zh-CN"/>
        </w:rPr>
        <w:t>高校辅导员专项</w:t>
      </w:r>
    </w:p>
    <w:p w14:paraId="13828D62">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1.学好</w:t>
      </w:r>
      <w:r>
        <w:rPr>
          <w:rFonts w:hint="eastAsia" w:ascii="仿宋_GB2312" w:hAnsi="仿宋_GB2312" w:eastAsia="仿宋_GB2312" w:cs="仿宋_GB2312"/>
          <w:color w:val="auto"/>
          <w:spacing w:val="-23"/>
          <w:sz w:val="32"/>
          <w:szCs w:val="32"/>
          <w:highlight w:val="none"/>
        </w:rPr>
        <w:t>用好习近平新时代中国特色社会主义思想的世界观与方法论研究</w:t>
      </w:r>
    </w:p>
    <w:p w14:paraId="2EA802DF">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2.高校文化育人实践路径研究</w:t>
      </w:r>
    </w:p>
    <w:p w14:paraId="3683DD86">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3</w:t>
      </w:r>
      <w:r>
        <w:rPr>
          <w:rFonts w:hint="eastAsia" w:ascii="仿宋_GB2312" w:hAnsi="仿宋_GB2312" w:eastAsia="仿宋_GB2312" w:cs="仿宋_GB2312"/>
          <w:color w:val="auto"/>
          <w:spacing w:val="0"/>
          <w:sz w:val="32"/>
          <w:szCs w:val="32"/>
          <w:highlight w:val="none"/>
        </w:rPr>
        <w:t>.培养有理想、敢担当、能吃苦、肯奋斗的新时代好青年研究</w:t>
      </w:r>
    </w:p>
    <w:p w14:paraId="666AEFF3">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4</w:t>
      </w:r>
      <w:r>
        <w:rPr>
          <w:rFonts w:hint="eastAsia" w:ascii="仿宋_GB2312" w:hAnsi="仿宋_GB2312" w:eastAsia="仿宋_GB2312" w:cs="仿宋_GB2312"/>
          <w:color w:val="auto"/>
          <w:spacing w:val="0"/>
          <w:sz w:val="32"/>
          <w:szCs w:val="32"/>
          <w:highlight w:val="none"/>
        </w:rPr>
        <w:t>.“时代新人”视域下大学生理想信念教育常态化制度化研究</w:t>
      </w:r>
    </w:p>
    <w:p w14:paraId="0E9DA307">
      <w:pPr>
        <w:keepNext w:val="0"/>
        <w:keepLines w:val="0"/>
        <w:pageBreakBefore w:val="0"/>
        <w:widowControl/>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5</w:t>
      </w:r>
      <w:r>
        <w:rPr>
          <w:rFonts w:hint="eastAsia" w:ascii="仿宋_GB2312" w:hAnsi="仿宋_GB2312" w:eastAsia="仿宋_GB2312" w:cs="仿宋_GB2312"/>
          <w:color w:val="auto"/>
          <w:spacing w:val="0"/>
          <w:sz w:val="32"/>
          <w:szCs w:val="32"/>
          <w:highlight w:val="none"/>
        </w:rPr>
        <w:t>.“三全育人”体系下高校辅导员角色定位与作用发挥研究</w:t>
      </w:r>
    </w:p>
    <w:p w14:paraId="792C5104">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6</w:t>
      </w:r>
      <w:r>
        <w:rPr>
          <w:rFonts w:hint="eastAsia" w:ascii="仿宋_GB2312" w:hAnsi="仿宋_GB2312" w:eastAsia="仿宋_GB2312" w:cs="仿宋_GB2312"/>
          <w:color w:val="auto"/>
          <w:spacing w:val="0"/>
          <w:sz w:val="32"/>
          <w:szCs w:val="32"/>
          <w:highlight w:val="none"/>
        </w:rPr>
        <w:t>.坚持用社会主义核心价值观铸魂育人研究</w:t>
      </w:r>
    </w:p>
    <w:p w14:paraId="5D177396">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7</w:t>
      </w:r>
      <w:r>
        <w:rPr>
          <w:rFonts w:hint="eastAsia" w:ascii="仿宋_GB2312" w:hAnsi="仿宋_GB2312" w:eastAsia="仿宋_GB2312" w:cs="仿宋_GB2312"/>
          <w:color w:val="auto"/>
          <w:spacing w:val="0"/>
          <w:sz w:val="32"/>
          <w:szCs w:val="32"/>
          <w:highlight w:val="none"/>
        </w:rPr>
        <w:t>.利用开学典礼、毕业典礼开展思想政治教育研究</w:t>
      </w:r>
    </w:p>
    <w:p w14:paraId="7A86F660">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8</w:t>
      </w:r>
      <w:r>
        <w:rPr>
          <w:rFonts w:hint="eastAsia" w:ascii="仿宋_GB2312" w:hAnsi="仿宋_GB2312" w:eastAsia="仿宋_GB2312" w:cs="仿宋_GB2312"/>
          <w:color w:val="auto"/>
          <w:spacing w:val="0"/>
          <w:sz w:val="32"/>
          <w:szCs w:val="32"/>
          <w:highlight w:val="none"/>
        </w:rPr>
        <w:t>.红色文化资源在大学生思想政治教育的作用研究</w:t>
      </w:r>
    </w:p>
    <w:p w14:paraId="03AED718">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9</w:t>
      </w:r>
      <w:r>
        <w:rPr>
          <w:rFonts w:hint="eastAsia" w:ascii="仿宋_GB2312" w:hAnsi="仿宋_GB2312" w:eastAsia="仿宋_GB2312" w:cs="仿宋_GB2312"/>
          <w:color w:val="auto"/>
          <w:spacing w:val="0"/>
          <w:sz w:val="32"/>
          <w:szCs w:val="32"/>
          <w:highlight w:val="none"/>
        </w:rPr>
        <w:t>.基于学生群体画像分析的高校精准思政研究</w:t>
      </w:r>
    </w:p>
    <w:p w14:paraId="6D8C991F">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1</w:t>
      </w:r>
      <w:r>
        <w:rPr>
          <w:rFonts w:hint="eastAsia" w:ascii="仿宋_GB2312" w:hAnsi="仿宋_GB2312" w:eastAsia="仿宋_GB2312" w:cs="仿宋_GB2312"/>
          <w:color w:val="auto"/>
          <w:spacing w:val="0"/>
          <w:sz w:val="32"/>
          <w:szCs w:val="32"/>
          <w:highlight w:val="none"/>
          <w:lang w:val="en-US" w:eastAsia="zh-CN"/>
        </w:rPr>
        <w:t>0</w:t>
      </w:r>
      <w:r>
        <w:rPr>
          <w:rFonts w:hint="eastAsia" w:ascii="仿宋_GB2312" w:hAnsi="仿宋_GB2312" w:eastAsia="仿宋_GB2312" w:cs="仿宋_GB2312"/>
          <w:color w:val="auto"/>
          <w:spacing w:val="0"/>
          <w:sz w:val="32"/>
          <w:szCs w:val="32"/>
          <w:highlight w:val="none"/>
        </w:rPr>
        <w:t>.新时代大学生勤俭节约精神教育研究</w:t>
      </w:r>
    </w:p>
    <w:p w14:paraId="21E633AB">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pacing w:val="0"/>
          <w:sz w:val="32"/>
          <w:szCs w:val="32"/>
          <w:highlight w:val="none"/>
          <w:lang w:eastAsia="zh-CN"/>
        </w:rPr>
      </w:pPr>
      <w:r>
        <w:rPr>
          <w:rFonts w:hint="eastAsia" w:ascii="仿宋_GB2312" w:hAnsi="仿宋_GB2312" w:eastAsia="仿宋_GB2312" w:cs="仿宋_GB2312"/>
          <w:color w:val="auto"/>
          <w:spacing w:val="0"/>
          <w:sz w:val="32"/>
          <w:szCs w:val="32"/>
          <w:highlight w:val="none"/>
        </w:rPr>
        <w:t>1</w:t>
      </w:r>
      <w:r>
        <w:rPr>
          <w:rFonts w:hint="eastAsia" w:ascii="仿宋_GB2312" w:hAnsi="仿宋_GB2312" w:eastAsia="仿宋_GB2312" w:cs="仿宋_GB2312"/>
          <w:color w:val="auto"/>
          <w:spacing w:val="0"/>
          <w:sz w:val="32"/>
          <w:szCs w:val="32"/>
          <w:highlight w:val="none"/>
          <w:lang w:val="en-US" w:eastAsia="zh-CN"/>
        </w:rPr>
        <w:t>1</w:t>
      </w:r>
      <w:r>
        <w:rPr>
          <w:rFonts w:hint="eastAsia" w:ascii="仿宋_GB2312" w:hAnsi="仿宋_GB2312" w:eastAsia="仿宋_GB2312" w:cs="仿宋_GB2312"/>
          <w:color w:val="auto"/>
          <w:spacing w:val="0"/>
          <w:sz w:val="32"/>
          <w:szCs w:val="32"/>
          <w:highlight w:val="none"/>
        </w:rPr>
        <w:t>.</w:t>
      </w:r>
      <w:r>
        <w:rPr>
          <w:rFonts w:hint="eastAsia" w:ascii="仿宋_GB2312" w:hAnsi="仿宋_GB2312" w:eastAsia="仿宋_GB2312" w:cs="仿宋_GB2312"/>
          <w:color w:val="auto"/>
          <w:spacing w:val="0"/>
          <w:sz w:val="32"/>
          <w:szCs w:val="32"/>
          <w:highlight w:val="none"/>
          <w:lang w:eastAsia="zh-CN"/>
        </w:rPr>
        <w:t>新时代大学生廉洁教育研究</w:t>
      </w:r>
    </w:p>
    <w:p w14:paraId="5DAD8954">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1</w:t>
      </w:r>
      <w:r>
        <w:rPr>
          <w:rFonts w:hint="eastAsia" w:ascii="仿宋_GB2312" w:hAnsi="仿宋_GB2312" w:eastAsia="仿宋_GB2312" w:cs="仿宋_GB2312"/>
          <w:color w:val="auto"/>
          <w:spacing w:val="0"/>
          <w:sz w:val="32"/>
          <w:szCs w:val="32"/>
          <w:highlight w:val="none"/>
          <w:lang w:val="en-US" w:eastAsia="zh-CN"/>
        </w:rPr>
        <w:t>2</w:t>
      </w:r>
      <w:r>
        <w:rPr>
          <w:rFonts w:hint="eastAsia" w:ascii="仿宋_GB2312" w:hAnsi="仿宋_GB2312" w:eastAsia="仿宋_GB2312" w:cs="仿宋_GB2312"/>
          <w:color w:val="auto"/>
          <w:spacing w:val="0"/>
          <w:sz w:val="32"/>
          <w:szCs w:val="32"/>
          <w:highlight w:val="none"/>
        </w:rPr>
        <w:t>.</w:t>
      </w:r>
      <w:r>
        <w:rPr>
          <w:rFonts w:hint="eastAsia" w:ascii="仿宋_GB2312" w:hAnsi="仿宋_GB2312" w:eastAsia="仿宋_GB2312" w:cs="仿宋_GB2312"/>
          <w:color w:val="auto"/>
          <w:spacing w:val="0"/>
          <w:sz w:val="32"/>
          <w:szCs w:val="32"/>
          <w:highlight w:val="none"/>
          <w:lang w:val="en-US" w:eastAsia="zh-CN"/>
        </w:rPr>
        <w:t>高校温暖集体构建研究</w:t>
      </w:r>
    </w:p>
    <w:p w14:paraId="1325AE9B">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1</w:t>
      </w:r>
      <w:r>
        <w:rPr>
          <w:rFonts w:hint="eastAsia" w:ascii="仿宋_GB2312" w:hAnsi="仿宋_GB2312" w:eastAsia="仿宋_GB2312" w:cs="仿宋_GB2312"/>
          <w:color w:val="auto"/>
          <w:spacing w:val="0"/>
          <w:sz w:val="32"/>
          <w:szCs w:val="32"/>
          <w:highlight w:val="none"/>
          <w:lang w:val="en-US" w:eastAsia="zh-CN"/>
        </w:rPr>
        <w:t>3</w:t>
      </w:r>
      <w:r>
        <w:rPr>
          <w:rFonts w:hint="eastAsia" w:ascii="仿宋_GB2312" w:hAnsi="仿宋_GB2312" w:eastAsia="仿宋_GB2312" w:cs="仿宋_GB2312"/>
          <w:color w:val="auto"/>
          <w:spacing w:val="0"/>
          <w:sz w:val="32"/>
          <w:szCs w:val="32"/>
          <w:highlight w:val="none"/>
        </w:rPr>
        <w:t>.整合资源构建高校实践育人共同体研究</w:t>
      </w:r>
    </w:p>
    <w:p w14:paraId="0E5E2057">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1</w:t>
      </w:r>
      <w:r>
        <w:rPr>
          <w:rFonts w:hint="eastAsia" w:ascii="仿宋_GB2312" w:hAnsi="仿宋_GB2312" w:eastAsia="仿宋_GB2312" w:cs="仿宋_GB2312"/>
          <w:color w:val="auto"/>
          <w:spacing w:val="0"/>
          <w:sz w:val="32"/>
          <w:szCs w:val="32"/>
          <w:highlight w:val="none"/>
          <w:lang w:val="en-US" w:eastAsia="zh-CN"/>
        </w:rPr>
        <w:t>4</w:t>
      </w:r>
      <w:r>
        <w:rPr>
          <w:rFonts w:hint="eastAsia" w:ascii="仿宋_GB2312" w:hAnsi="仿宋_GB2312" w:eastAsia="仿宋_GB2312" w:cs="仿宋_GB2312"/>
          <w:color w:val="auto"/>
          <w:spacing w:val="0"/>
          <w:sz w:val="32"/>
          <w:szCs w:val="32"/>
          <w:highlight w:val="none"/>
        </w:rPr>
        <w:t>.“五育并举”背景下高校培育优良学风路径研究</w:t>
      </w:r>
    </w:p>
    <w:p w14:paraId="42C60461">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1</w:t>
      </w:r>
      <w:r>
        <w:rPr>
          <w:rFonts w:hint="eastAsia" w:ascii="仿宋_GB2312" w:hAnsi="仿宋_GB2312" w:eastAsia="仿宋_GB2312" w:cs="仿宋_GB2312"/>
          <w:color w:val="auto"/>
          <w:spacing w:val="0"/>
          <w:sz w:val="32"/>
          <w:szCs w:val="32"/>
          <w:highlight w:val="none"/>
          <w:lang w:val="en-US" w:eastAsia="zh-CN"/>
        </w:rPr>
        <w:t>5</w:t>
      </w:r>
      <w:r>
        <w:rPr>
          <w:rFonts w:hint="eastAsia" w:ascii="仿宋_GB2312" w:hAnsi="仿宋_GB2312" w:eastAsia="仿宋_GB2312" w:cs="仿宋_GB2312"/>
          <w:color w:val="auto"/>
          <w:spacing w:val="0"/>
          <w:sz w:val="32"/>
          <w:szCs w:val="32"/>
          <w:highlight w:val="none"/>
        </w:rPr>
        <w:t>.少数民族学生思想政治教育工作机制创新研究</w:t>
      </w:r>
    </w:p>
    <w:p w14:paraId="79467F41">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16</w:t>
      </w:r>
      <w:r>
        <w:rPr>
          <w:rFonts w:hint="eastAsia" w:ascii="仿宋_GB2312" w:hAnsi="仿宋_GB2312" w:eastAsia="仿宋_GB2312" w:cs="仿宋_GB2312"/>
          <w:color w:val="auto"/>
          <w:spacing w:val="0"/>
          <w:sz w:val="32"/>
          <w:szCs w:val="32"/>
          <w:highlight w:val="none"/>
        </w:rPr>
        <w:t>.构建高校辅导员发展体系研究</w:t>
      </w:r>
    </w:p>
    <w:p w14:paraId="7E8FF0B1">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17</w:t>
      </w:r>
      <w:r>
        <w:rPr>
          <w:rFonts w:hint="eastAsia" w:ascii="仿宋_GB2312" w:hAnsi="仿宋_GB2312" w:eastAsia="仿宋_GB2312" w:cs="仿宋_GB2312"/>
          <w:color w:val="auto"/>
          <w:spacing w:val="0"/>
          <w:sz w:val="32"/>
          <w:szCs w:val="32"/>
          <w:highlight w:val="none"/>
        </w:rPr>
        <w:t>.新时代高校辅导员核心素养研究</w:t>
      </w:r>
    </w:p>
    <w:p w14:paraId="0DFD6F52">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18</w:t>
      </w:r>
      <w:r>
        <w:rPr>
          <w:rFonts w:hint="eastAsia" w:ascii="仿宋_GB2312" w:hAnsi="仿宋_GB2312" w:eastAsia="仿宋_GB2312" w:cs="仿宋_GB2312"/>
          <w:color w:val="auto"/>
          <w:spacing w:val="0"/>
          <w:sz w:val="32"/>
          <w:szCs w:val="32"/>
          <w:highlight w:val="none"/>
        </w:rPr>
        <w:t>.高校辅导员大数据赋能成长与发展机制研究</w:t>
      </w:r>
    </w:p>
    <w:p w14:paraId="2CD39A94">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19</w:t>
      </w:r>
      <w:r>
        <w:rPr>
          <w:rFonts w:hint="eastAsia" w:ascii="仿宋_GB2312" w:hAnsi="仿宋_GB2312" w:eastAsia="仿宋_GB2312" w:cs="仿宋_GB2312"/>
          <w:color w:val="auto"/>
          <w:spacing w:val="0"/>
          <w:sz w:val="32"/>
          <w:szCs w:val="32"/>
          <w:highlight w:val="none"/>
        </w:rPr>
        <w:t>.高校辅导员提升政治引领力路径研究</w:t>
      </w:r>
    </w:p>
    <w:p w14:paraId="0A33B0D0">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20</w:t>
      </w:r>
      <w:r>
        <w:rPr>
          <w:rFonts w:hint="eastAsia" w:ascii="仿宋_GB2312" w:hAnsi="仿宋_GB2312" w:eastAsia="仿宋_GB2312" w:cs="仿宋_GB2312"/>
          <w:color w:val="auto"/>
          <w:spacing w:val="0"/>
          <w:sz w:val="32"/>
          <w:szCs w:val="32"/>
          <w:highlight w:val="none"/>
        </w:rPr>
        <w:t>.高校辅导员与思政课教师、专业课教师协同育人研究</w:t>
      </w:r>
    </w:p>
    <w:p w14:paraId="42353FC5">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2</w:t>
      </w:r>
      <w:r>
        <w:rPr>
          <w:rFonts w:hint="eastAsia" w:ascii="仿宋_GB2312" w:hAnsi="仿宋_GB2312" w:eastAsia="仿宋_GB2312" w:cs="仿宋_GB2312"/>
          <w:color w:val="auto"/>
          <w:spacing w:val="0"/>
          <w:sz w:val="32"/>
          <w:szCs w:val="32"/>
          <w:highlight w:val="none"/>
          <w:lang w:val="en-US" w:eastAsia="zh-CN"/>
        </w:rPr>
        <w:t>1</w:t>
      </w:r>
      <w:r>
        <w:rPr>
          <w:rFonts w:hint="eastAsia" w:ascii="仿宋_GB2312" w:hAnsi="仿宋_GB2312" w:eastAsia="仿宋_GB2312" w:cs="仿宋_GB2312"/>
          <w:color w:val="auto"/>
          <w:spacing w:val="0"/>
          <w:sz w:val="32"/>
          <w:szCs w:val="32"/>
          <w:highlight w:val="none"/>
        </w:rPr>
        <w:t>.增强高校辅导员与学生谈心谈话的针对性和实效性研究</w:t>
      </w:r>
    </w:p>
    <w:p w14:paraId="5A6975C3">
      <w:pPr>
        <w:keepNext w:val="0"/>
        <w:keepLines w:val="0"/>
        <w:pageBreakBefore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2</w:t>
      </w:r>
      <w:r>
        <w:rPr>
          <w:rFonts w:hint="eastAsia" w:ascii="仿宋_GB2312" w:hAnsi="仿宋_GB2312" w:eastAsia="仿宋_GB2312" w:cs="仿宋_GB2312"/>
          <w:color w:val="auto"/>
          <w:spacing w:val="0"/>
          <w:sz w:val="32"/>
          <w:szCs w:val="32"/>
          <w:highlight w:val="none"/>
          <w:lang w:val="en-US" w:eastAsia="zh-CN"/>
        </w:rPr>
        <w:t>2</w:t>
      </w:r>
      <w:r>
        <w:rPr>
          <w:rFonts w:hint="eastAsia" w:ascii="仿宋_GB2312" w:hAnsi="仿宋_GB2312" w:eastAsia="仿宋_GB2312" w:cs="仿宋_GB2312"/>
          <w:color w:val="auto"/>
          <w:spacing w:val="0"/>
          <w:sz w:val="32"/>
          <w:szCs w:val="32"/>
          <w:highlight w:val="none"/>
        </w:rPr>
        <w:t>.高校辅导员工作室建设有效路径研究</w:t>
      </w:r>
    </w:p>
    <w:p w14:paraId="6D7696D5">
      <w:pPr>
        <w:keepNext w:val="0"/>
        <w:keepLines w:val="0"/>
        <w:pageBreakBefore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2</w:t>
      </w:r>
      <w:r>
        <w:rPr>
          <w:rFonts w:hint="eastAsia" w:ascii="仿宋_GB2312" w:hAnsi="仿宋_GB2312" w:eastAsia="仿宋_GB2312" w:cs="仿宋_GB2312"/>
          <w:color w:val="auto"/>
          <w:spacing w:val="0"/>
          <w:sz w:val="32"/>
          <w:szCs w:val="32"/>
          <w:highlight w:val="none"/>
          <w:lang w:val="en-US" w:eastAsia="zh-CN"/>
        </w:rPr>
        <w:t>3</w:t>
      </w:r>
      <w:r>
        <w:rPr>
          <w:rFonts w:hint="eastAsia" w:ascii="仿宋_GB2312" w:hAnsi="仿宋_GB2312" w:eastAsia="仿宋_GB2312" w:cs="仿宋_GB2312"/>
          <w:color w:val="auto"/>
          <w:spacing w:val="0"/>
          <w:sz w:val="32"/>
          <w:szCs w:val="32"/>
          <w:highlight w:val="none"/>
        </w:rPr>
        <w:t>.完善经济困难学生发展型资助体系研究</w:t>
      </w:r>
    </w:p>
    <w:p w14:paraId="663F619E">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24</w:t>
      </w:r>
      <w:r>
        <w:rPr>
          <w:rFonts w:hint="eastAsia" w:ascii="仿宋_GB2312" w:hAnsi="仿宋_GB2312" w:eastAsia="仿宋_GB2312" w:cs="仿宋_GB2312"/>
          <w:color w:val="auto"/>
          <w:spacing w:val="0"/>
          <w:sz w:val="32"/>
          <w:szCs w:val="32"/>
          <w:highlight w:val="none"/>
        </w:rPr>
        <w:t>.ChatGPT对高校思想政治工作的影响研究</w:t>
      </w:r>
    </w:p>
    <w:p w14:paraId="08841D38">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25</w:t>
      </w:r>
      <w:r>
        <w:rPr>
          <w:rFonts w:hint="eastAsia" w:ascii="仿宋_GB2312" w:hAnsi="仿宋_GB2312" w:eastAsia="仿宋_GB2312" w:cs="仿宋_GB2312"/>
          <w:color w:val="auto"/>
          <w:spacing w:val="0"/>
          <w:sz w:val="32"/>
          <w:szCs w:val="32"/>
          <w:highlight w:val="none"/>
        </w:rPr>
        <w:t>.高校思想政治教育数据化转型研究</w:t>
      </w:r>
    </w:p>
    <w:p w14:paraId="47F50121">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26</w:t>
      </w:r>
      <w:r>
        <w:rPr>
          <w:rFonts w:hint="eastAsia" w:ascii="仿宋_GB2312" w:hAnsi="仿宋_GB2312" w:eastAsia="仿宋_GB2312" w:cs="仿宋_GB2312"/>
          <w:color w:val="auto"/>
          <w:spacing w:val="0"/>
          <w:sz w:val="32"/>
          <w:szCs w:val="32"/>
          <w:highlight w:val="none"/>
        </w:rPr>
        <w:t>.网络群体极化对大学生的影响及应对研究</w:t>
      </w:r>
    </w:p>
    <w:p w14:paraId="17234EA3">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27</w:t>
      </w:r>
      <w:r>
        <w:rPr>
          <w:rFonts w:hint="eastAsia" w:ascii="仿宋_GB2312" w:hAnsi="仿宋_GB2312" w:eastAsia="仿宋_GB2312" w:cs="仿宋_GB2312"/>
          <w:color w:val="auto"/>
          <w:spacing w:val="0"/>
          <w:sz w:val="32"/>
          <w:szCs w:val="32"/>
          <w:highlight w:val="none"/>
        </w:rPr>
        <w:t>.大学生网络社交圈层化特点与引导策略研究</w:t>
      </w:r>
    </w:p>
    <w:p w14:paraId="4BA7AD4F">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28</w:t>
      </w:r>
      <w:r>
        <w:rPr>
          <w:rFonts w:hint="eastAsia" w:ascii="仿宋_GB2312" w:hAnsi="仿宋_GB2312" w:eastAsia="仿宋_GB2312" w:cs="仿宋_GB2312"/>
          <w:color w:val="auto"/>
          <w:spacing w:val="0"/>
          <w:sz w:val="32"/>
          <w:szCs w:val="32"/>
          <w:highlight w:val="none"/>
        </w:rPr>
        <w:t>.大学生网络素养内容、载体及培育机制研究</w:t>
      </w:r>
    </w:p>
    <w:p w14:paraId="432FC182">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29</w:t>
      </w:r>
      <w:r>
        <w:rPr>
          <w:rFonts w:hint="eastAsia" w:ascii="仿宋_GB2312" w:hAnsi="仿宋_GB2312" w:eastAsia="仿宋_GB2312" w:cs="仿宋_GB2312"/>
          <w:color w:val="auto"/>
          <w:spacing w:val="0"/>
          <w:sz w:val="32"/>
          <w:szCs w:val="32"/>
          <w:highlight w:val="none"/>
        </w:rPr>
        <w:t>.大学生网络“亚文化”现象的教育引导研究</w:t>
      </w:r>
    </w:p>
    <w:p w14:paraId="3CD9EF4E">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3</w:t>
      </w:r>
      <w:r>
        <w:rPr>
          <w:rFonts w:hint="eastAsia" w:ascii="仿宋_GB2312" w:hAnsi="仿宋_GB2312" w:eastAsia="仿宋_GB2312" w:cs="仿宋_GB2312"/>
          <w:color w:val="auto"/>
          <w:spacing w:val="0"/>
          <w:sz w:val="32"/>
          <w:szCs w:val="32"/>
          <w:highlight w:val="none"/>
          <w:lang w:val="en-US" w:eastAsia="zh-CN"/>
        </w:rPr>
        <w:t>0</w:t>
      </w:r>
      <w:r>
        <w:rPr>
          <w:rFonts w:hint="eastAsia" w:ascii="仿宋_GB2312" w:hAnsi="仿宋_GB2312" w:eastAsia="仿宋_GB2312" w:cs="仿宋_GB2312"/>
          <w:color w:val="auto"/>
          <w:spacing w:val="0"/>
          <w:sz w:val="32"/>
          <w:szCs w:val="32"/>
          <w:highlight w:val="none"/>
        </w:rPr>
        <w:t>.大学生网络思想政治教育供给侧改革创新研究</w:t>
      </w:r>
    </w:p>
    <w:p w14:paraId="4722FD72">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31</w:t>
      </w:r>
      <w:r>
        <w:rPr>
          <w:rFonts w:hint="eastAsia" w:ascii="仿宋_GB2312" w:hAnsi="仿宋_GB2312" w:eastAsia="仿宋_GB2312" w:cs="仿宋_GB2312"/>
          <w:color w:val="auto"/>
          <w:spacing w:val="0"/>
          <w:sz w:val="32"/>
          <w:szCs w:val="32"/>
          <w:highlight w:val="none"/>
        </w:rPr>
        <w:t>.大学生“社恐”现象的心理机制与有效应对研究</w:t>
      </w:r>
    </w:p>
    <w:p w14:paraId="7E8C6725">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32</w:t>
      </w:r>
      <w:r>
        <w:rPr>
          <w:rFonts w:hint="eastAsia" w:ascii="仿宋_GB2312" w:hAnsi="仿宋_GB2312" w:eastAsia="仿宋_GB2312" w:cs="仿宋_GB2312"/>
          <w:color w:val="auto"/>
          <w:spacing w:val="0"/>
          <w:sz w:val="32"/>
          <w:szCs w:val="32"/>
          <w:highlight w:val="none"/>
        </w:rPr>
        <w:t>.大学生心理问题早期发现和科学干预机制研究</w:t>
      </w:r>
    </w:p>
    <w:p w14:paraId="6DBD3DC9">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33</w:t>
      </w:r>
      <w:r>
        <w:rPr>
          <w:rFonts w:hint="eastAsia" w:ascii="仿宋_GB2312" w:hAnsi="仿宋_GB2312" w:eastAsia="仿宋_GB2312" w:cs="仿宋_GB2312"/>
          <w:color w:val="auto"/>
          <w:spacing w:val="0"/>
          <w:sz w:val="32"/>
          <w:szCs w:val="32"/>
          <w:highlight w:val="none"/>
        </w:rPr>
        <w:t>.新时代高校学生心理健康教育的难点与对策研究</w:t>
      </w:r>
    </w:p>
    <w:p w14:paraId="520C9082">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34</w:t>
      </w:r>
      <w:r>
        <w:rPr>
          <w:rFonts w:hint="eastAsia" w:ascii="仿宋_GB2312" w:hAnsi="仿宋_GB2312" w:eastAsia="仿宋_GB2312" w:cs="仿宋_GB2312"/>
          <w:color w:val="auto"/>
          <w:spacing w:val="0"/>
          <w:sz w:val="32"/>
          <w:szCs w:val="32"/>
          <w:highlight w:val="none"/>
        </w:rPr>
        <w:t>.高校学生心理健康教育体系建设创新研究</w:t>
      </w:r>
    </w:p>
    <w:p w14:paraId="1D92A965">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35</w:t>
      </w:r>
      <w:r>
        <w:rPr>
          <w:rFonts w:hint="eastAsia" w:ascii="仿宋_GB2312" w:hAnsi="仿宋_GB2312" w:eastAsia="仿宋_GB2312" w:cs="仿宋_GB2312"/>
          <w:color w:val="auto"/>
          <w:spacing w:val="0"/>
          <w:sz w:val="32"/>
          <w:szCs w:val="32"/>
          <w:highlight w:val="none"/>
        </w:rPr>
        <w:t>.大学生积极心理品质培育的路径与机制研究</w:t>
      </w:r>
    </w:p>
    <w:p w14:paraId="162460C3">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36</w:t>
      </w:r>
      <w:r>
        <w:rPr>
          <w:rFonts w:hint="eastAsia" w:ascii="仿宋_GB2312" w:hAnsi="仿宋_GB2312" w:eastAsia="仿宋_GB2312" w:cs="仿宋_GB2312"/>
          <w:color w:val="auto"/>
          <w:spacing w:val="0"/>
          <w:sz w:val="32"/>
          <w:szCs w:val="32"/>
          <w:highlight w:val="none"/>
        </w:rPr>
        <w:t>.大学生心理危机的特点与干预策略研究</w:t>
      </w:r>
    </w:p>
    <w:p w14:paraId="43BF83AA">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3</w:t>
      </w:r>
      <w:r>
        <w:rPr>
          <w:rFonts w:hint="eastAsia" w:ascii="仿宋_GB2312" w:hAnsi="仿宋_GB2312" w:eastAsia="仿宋_GB2312" w:cs="仿宋_GB2312"/>
          <w:color w:val="auto"/>
          <w:spacing w:val="0"/>
          <w:sz w:val="32"/>
          <w:szCs w:val="32"/>
          <w:highlight w:val="none"/>
        </w:rPr>
        <w:t>7.大学生心理健康教育家校协同机制研究</w:t>
      </w:r>
    </w:p>
    <w:p w14:paraId="0BA46E8A">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3</w:t>
      </w:r>
      <w:r>
        <w:rPr>
          <w:rFonts w:hint="eastAsia" w:ascii="仿宋_GB2312" w:hAnsi="仿宋_GB2312" w:eastAsia="仿宋_GB2312" w:cs="仿宋_GB2312"/>
          <w:color w:val="auto"/>
          <w:spacing w:val="0"/>
          <w:sz w:val="32"/>
          <w:szCs w:val="32"/>
          <w:highlight w:val="none"/>
        </w:rPr>
        <w:t>8.研究生“导学思政”工作守正创新研究</w:t>
      </w:r>
    </w:p>
    <w:p w14:paraId="09661A44">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3</w:t>
      </w:r>
      <w:r>
        <w:rPr>
          <w:rFonts w:hint="eastAsia" w:ascii="仿宋_GB2312" w:hAnsi="仿宋_GB2312" w:eastAsia="仿宋_GB2312" w:cs="仿宋_GB2312"/>
          <w:color w:val="auto"/>
          <w:spacing w:val="0"/>
          <w:sz w:val="32"/>
          <w:szCs w:val="32"/>
          <w:highlight w:val="none"/>
        </w:rPr>
        <w:t>9.民办高校大学生思想政治教育的现状和对策研究</w:t>
      </w:r>
    </w:p>
    <w:p w14:paraId="3DC4BCDA">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4</w:t>
      </w:r>
      <w:r>
        <w:rPr>
          <w:rFonts w:hint="eastAsia" w:ascii="仿宋_GB2312" w:hAnsi="仿宋_GB2312" w:eastAsia="仿宋_GB2312" w:cs="仿宋_GB2312"/>
          <w:color w:val="auto"/>
          <w:spacing w:val="0"/>
          <w:sz w:val="32"/>
          <w:szCs w:val="32"/>
          <w:highlight w:val="none"/>
        </w:rPr>
        <w:t>0.高职高专大学生思想政治教育的现状和对策研究</w:t>
      </w:r>
    </w:p>
    <w:p w14:paraId="6D4FB19E">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4</w:t>
      </w:r>
      <w:r>
        <w:rPr>
          <w:rFonts w:hint="eastAsia" w:ascii="仿宋_GB2312" w:hAnsi="仿宋_GB2312" w:eastAsia="仿宋_GB2312" w:cs="仿宋_GB2312"/>
          <w:color w:val="auto"/>
          <w:spacing w:val="0"/>
          <w:sz w:val="32"/>
          <w:szCs w:val="32"/>
          <w:highlight w:val="none"/>
        </w:rPr>
        <w:t>1.艺体类大学生思想政治教育的现状和对策研究</w:t>
      </w:r>
    </w:p>
    <w:p w14:paraId="4B1AD484">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42</w:t>
      </w:r>
      <w:r>
        <w:rPr>
          <w:rFonts w:hint="eastAsia" w:ascii="仿宋_GB2312" w:hAnsi="仿宋_GB2312" w:eastAsia="仿宋_GB2312" w:cs="仿宋_GB2312"/>
          <w:color w:val="auto"/>
          <w:spacing w:val="0"/>
          <w:sz w:val="32"/>
          <w:szCs w:val="32"/>
          <w:highlight w:val="none"/>
        </w:rPr>
        <w:t>.民办高校学生党建工作机制创新研究</w:t>
      </w:r>
    </w:p>
    <w:p w14:paraId="5199D389">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43</w:t>
      </w:r>
      <w:r>
        <w:rPr>
          <w:rFonts w:hint="eastAsia" w:ascii="仿宋_GB2312" w:hAnsi="仿宋_GB2312" w:eastAsia="仿宋_GB2312" w:cs="仿宋_GB2312"/>
          <w:color w:val="auto"/>
          <w:spacing w:val="0"/>
          <w:sz w:val="32"/>
          <w:szCs w:val="32"/>
          <w:highlight w:val="none"/>
        </w:rPr>
        <w:t>.</w:t>
      </w:r>
      <w:r>
        <w:rPr>
          <w:rFonts w:hint="eastAsia" w:ascii="仿宋_GB2312" w:hAnsi="仿宋_GB2312" w:eastAsia="仿宋_GB2312" w:cs="仿宋_GB2312"/>
          <w:color w:val="auto"/>
          <w:spacing w:val="-11"/>
          <w:sz w:val="32"/>
          <w:szCs w:val="32"/>
          <w:highlight w:val="none"/>
        </w:rPr>
        <w:t>“一站式”学生社区综合管理模式建设理论逻辑与实践进路研究</w:t>
      </w:r>
      <w:r>
        <w:rPr>
          <w:rFonts w:hint="eastAsia" w:ascii="仿宋_GB2312" w:hAnsi="仿宋_GB2312" w:eastAsia="仿宋_GB2312" w:cs="仿宋_GB2312"/>
          <w:color w:val="auto"/>
          <w:spacing w:val="0"/>
          <w:sz w:val="32"/>
          <w:szCs w:val="32"/>
          <w:highlight w:val="none"/>
        </w:rPr>
        <w:t xml:space="preserve"> </w:t>
      </w:r>
    </w:p>
    <w:p w14:paraId="46AFFCA1">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44</w:t>
      </w:r>
      <w:r>
        <w:rPr>
          <w:rFonts w:hint="eastAsia" w:ascii="仿宋_GB2312" w:hAnsi="仿宋_GB2312" w:eastAsia="仿宋_GB2312" w:cs="仿宋_GB2312"/>
          <w:color w:val="auto"/>
          <w:spacing w:val="0"/>
          <w:sz w:val="32"/>
          <w:szCs w:val="32"/>
          <w:highlight w:val="none"/>
        </w:rPr>
        <w:t>.大学生马克思主义宗教观教育模式创新路径研究</w:t>
      </w:r>
    </w:p>
    <w:p w14:paraId="25E6EC2F">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45</w:t>
      </w:r>
      <w:r>
        <w:rPr>
          <w:rFonts w:hint="eastAsia" w:ascii="仿宋_GB2312" w:hAnsi="仿宋_GB2312" w:eastAsia="仿宋_GB2312" w:cs="仿宋_GB2312"/>
          <w:color w:val="auto"/>
          <w:spacing w:val="0"/>
          <w:sz w:val="32"/>
          <w:szCs w:val="32"/>
          <w:highlight w:val="none"/>
        </w:rPr>
        <w:t>.高校学生组织育人的路径和机制创新研究</w:t>
      </w:r>
    </w:p>
    <w:p w14:paraId="2B25A622">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46</w:t>
      </w:r>
      <w:r>
        <w:rPr>
          <w:rFonts w:hint="eastAsia" w:ascii="仿宋_GB2312" w:hAnsi="仿宋_GB2312" w:eastAsia="仿宋_GB2312" w:cs="仿宋_GB2312"/>
          <w:color w:val="auto"/>
          <w:spacing w:val="0"/>
          <w:sz w:val="32"/>
          <w:szCs w:val="32"/>
          <w:highlight w:val="none"/>
        </w:rPr>
        <w:t>.高校基层党建中的大数据应用研究</w:t>
      </w:r>
    </w:p>
    <w:p w14:paraId="540297CA">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47</w:t>
      </w:r>
      <w:r>
        <w:rPr>
          <w:rFonts w:hint="eastAsia" w:ascii="仿宋_GB2312" w:hAnsi="仿宋_GB2312" w:eastAsia="仿宋_GB2312" w:cs="仿宋_GB2312"/>
          <w:color w:val="auto"/>
          <w:spacing w:val="0"/>
          <w:sz w:val="32"/>
          <w:szCs w:val="32"/>
          <w:highlight w:val="none"/>
        </w:rPr>
        <w:t>.高校学生党员教育管理服务机制创新研究</w:t>
      </w:r>
    </w:p>
    <w:p w14:paraId="2553FD93">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48</w:t>
      </w:r>
      <w:r>
        <w:rPr>
          <w:rFonts w:hint="eastAsia" w:ascii="仿宋_GB2312" w:hAnsi="仿宋_GB2312" w:eastAsia="仿宋_GB2312" w:cs="仿宋_GB2312"/>
          <w:color w:val="auto"/>
          <w:spacing w:val="0"/>
          <w:sz w:val="32"/>
          <w:szCs w:val="32"/>
          <w:highlight w:val="none"/>
        </w:rPr>
        <w:t>.新时代高校国家安全教育有效策略研究</w:t>
      </w:r>
    </w:p>
    <w:p w14:paraId="1F72ECFA">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49</w:t>
      </w:r>
      <w:r>
        <w:rPr>
          <w:rFonts w:hint="eastAsia" w:ascii="仿宋_GB2312" w:hAnsi="仿宋_GB2312" w:eastAsia="仿宋_GB2312" w:cs="仿宋_GB2312"/>
          <w:color w:val="auto"/>
          <w:spacing w:val="0"/>
          <w:sz w:val="32"/>
          <w:szCs w:val="32"/>
          <w:highlight w:val="none"/>
        </w:rPr>
        <w:t>.高校学生群体性事件应对与处置策略研究</w:t>
      </w:r>
    </w:p>
    <w:p w14:paraId="02EE6243">
      <w:r>
        <w:rPr>
          <w:rFonts w:hint="eastAsia" w:ascii="仿宋_GB2312" w:hAnsi="仿宋_GB2312" w:eastAsia="仿宋_GB2312" w:cs="仿宋_GB2312"/>
          <w:color w:val="auto"/>
          <w:spacing w:val="0"/>
          <w:sz w:val="32"/>
          <w:szCs w:val="32"/>
          <w:highlight w:val="none"/>
          <w:lang w:val="en-US" w:eastAsia="zh-CN"/>
        </w:rPr>
        <w:t>50</w:t>
      </w:r>
      <w:r>
        <w:rPr>
          <w:rFonts w:hint="eastAsia" w:ascii="仿宋_GB2312" w:hAnsi="仿宋_GB2312" w:eastAsia="仿宋_GB2312" w:cs="仿宋_GB2312"/>
          <w:color w:val="auto"/>
          <w:spacing w:val="0"/>
          <w:sz w:val="32"/>
          <w:szCs w:val="32"/>
          <w:highlight w:val="none"/>
        </w:rPr>
        <w:t>.高校安全风险防范化解研究</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0BD04B7-6C96-457A-AEC2-5737E3925302}"/>
  </w:font>
  <w:font w:name="黑体">
    <w:panose1 w:val="02010609060101010101"/>
    <w:charset w:val="86"/>
    <w:family w:val="auto"/>
    <w:pitch w:val="default"/>
    <w:sig w:usb0="800002BF" w:usb1="38CF7CFA" w:usb2="00000016" w:usb3="00000000" w:csb0="00040001" w:csb1="00000000"/>
    <w:embedRegular r:id="rId2" w:fontKey="{90C5A413-3A8C-4261-BAB6-96AF643FA77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7BBA1C54-7A62-4B02-8FF1-7C4FD965C283}"/>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4" w:fontKey="{A3304524-A387-4DB6-ACB2-A38F7BE59918}"/>
  </w:font>
  <w:font w:name="仿宋_GB2312">
    <w:altName w:val="仿宋"/>
    <w:panose1 w:val="02010609030101010101"/>
    <w:charset w:val="86"/>
    <w:family w:val="modern"/>
    <w:pitch w:val="default"/>
    <w:sig w:usb0="00000000" w:usb1="00000000" w:usb2="00000000" w:usb3="00000000" w:csb0="00040000" w:csb1="00000000"/>
    <w:embedRegular r:id="rId5" w:fontKey="{6D922D36-9FFB-4315-938F-C2D4D41A5AD7}"/>
  </w:font>
  <w:font w:name="楷体_GB2312">
    <w:altName w:val="楷体"/>
    <w:panose1 w:val="02010609030101010101"/>
    <w:charset w:val="86"/>
    <w:family w:val="modern"/>
    <w:pitch w:val="default"/>
    <w:sig w:usb0="00000000" w:usb1="00000000" w:usb2="00000000" w:usb3="00000000" w:csb0="00040000" w:csb1="00000000"/>
    <w:embedRegular r:id="rId6" w:fontKey="{49BF3DF4-3E74-4A01-860E-70C21F114A53}"/>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1N2E0NzQ4MzBiMDUzNGU0N2ZmMGVhYjgyNjdjMTgifQ=="/>
  </w:docVars>
  <w:rsids>
    <w:rsidRoot w:val="2435541D"/>
    <w:rsid w:val="24355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color w:val="000000"/>
      <w:kern w:val="2"/>
      <w:sz w:val="32"/>
      <w:szCs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Body Text First Indent"/>
    <w:basedOn w:val="2"/>
    <w:next w:val="1"/>
    <w:qFormat/>
    <w:uiPriority w:val="0"/>
    <w:pPr>
      <w:ind w:firstLine="420" w:firstLineChars="100"/>
    </w:pPr>
    <w:rPr>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2024-09-04T09:09:00Z</dcterms:created>
  <dc:creator>观月意在夏</dc:creator>
  <cp:lastModifiedBy>观月意在夏</cp:lastModifiedBy>
  <dcterms:modified xsi:type="dcterms:W3CDTF">2024-09-04T09:10:44Z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58331F3A09A24A568FD58E05710CA847_11</vt:lpwstr>
  </property>
</Properties>
</file>