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方正小标宋简体" w:eastAsia="方正小标宋简体"/>
          <w:b/>
          <w:bCs/>
          <w:sz w:val="36"/>
          <w:szCs w:val="36"/>
        </w:rPr>
      </w:pPr>
      <w:r>
        <w:rPr>
          <w:rFonts w:hint="eastAsia" w:ascii="方正小标宋简体" w:eastAsia="方正小标宋简体"/>
          <w:b/>
          <w:bCs/>
          <w:sz w:val="36"/>
          <w:szCs w:val="36"/>
        </w:rPr>
        <w:t>创新创业实践学分认定常见问题解答</w:t>
      </w:r>
    </w:p>
    <w:p>
      <w:pPr>
        <w:spacing w:line="276" w:lineRule="auto"/>
        <w:rPr>
          <w:b/>
          <w:bCs/>
        </w:rPr>
      </w:pPr>
    </w:p>
    <w:p>
      <w:pPr>
        <w:spacing w:line="276" w:lineRule="auto"/>
        <w:rPr>
          <w:b/>
          <w:bCs/>
        </w:rPr>
      </w:pPr>
      <w:r>
        <w:rPr>
          <w:b/>
          <w:bCs/>
        </w:rPr>
        <w:t>1.</w:t>
      </w:r>
      <w:r>
        <w:rPr>
          <w:rFonts w:hint="eastAsia"/>
          <w:b/>
          <w:bCs/>
        </w:rPr>
        <w:t>大四毕业生目前有一些证书或成果暂时未取得，在毕业前还有机会可以认定吗？</w:t>
      </w:r>
    </w:p>
    <w:p>
      <w:pPr>
        <w:spacing w:line="276" w:lineRule="auto"/>
      </w:pPr>
      <w:r>
        <w:rPr>
          <w:rFonts w:hint="eastAsia"/>
        </w:rPr>
        <w:t>答：可以。一般会在毕业资格审核前再针对毕业年级学生开放一次认定。</w:t>
      </w:r>
    </w:p>
    <w:p>
      <w:pPr>
        <w:spacing w:line="276" w:lineRule="auto"/>
      </w:pPr>
    </w:p>
    <w:p>
      <w:pPr>
        <w:spacing w:line="276" w:lineRule="auto"/>
        <w:rPr>
          <w:b/>
          <w:bCs/>
        </w:rPr>
      </w:pPr>
      <w:r>
        <w:rPr>
          <w:b/>
          <w:bCs/>
        </w:rPr>
        <w:t>2.</w:t>
      </w:r>
      <w:r>
        <w:rPr>
          <w:rFonts w:hint="eastAsia"/>
          <w:b/>
          <w:bCs/>
        </w:rPr>
        <w:t>不在申报时间范围内（2</w:t>
      </w:r>
      <w:r>
        <w:rPr>
          <w:b/>
          <w:bCs/>
        </w:rPr>
        <w:t>022</w:t>
      </w:r>
      <w:r>
        <w:rPr>
          <w:rFonts w:hint="eastAsia"/>
          <w:b/>
          <w:bCs/>
        </w:rPr>
        <w:t>年</w:t>
      </w:r>
      <w:r>
        <w:rPr>
          <w:b/>
          <w:bCs/>
        </w:rPr>
        <w:t>2</w:t>
      </w:r>
      <w:r>
        <w:rPr>
          <w:rFonts w:hint="eastAsia"/>
          <w:b/>
          <w:bCs/>
        </w:rPr>
        <w:t>月</w:t>
      </w:r>
      <w:r>
        <w:rPr>
          <w:b/>
          <w:bCs/>
        </w:rPr>
        <w:t>-2023</w:t>
      </w:r>
      <w:r>
        <w:rPr>
          <w:rFonts w:hint="eastAsia"/>
          <w:b/>
          <w:bCs/>
        </w:rPr>
        <w:t>年</w:t>
      </w:r>
      <w:r>
        <w:rPr>
          <w:b/>
          <w:bCs/>
        </w:rPr>
        <w:t>2</w:t>
      </w:r>
      <w:r>
        <w:rPr>
          <w:rFonts w:hint="eastAsia"/>
          <w:b/>
          <w:bCs/>
        </w:rPr>
        <w:t>月）取得的证书或奖项可以认定学分吗？</w:t>
      </w:r>
    </w:p>
    <w:p>
      <w:pPr>
        <w:spacing w:line="276" w:lineRule="auto"/>
      </w:pPr>
      <w:r>
        <w:rPr>
          <w:rFonts w:hint="eastAsia"/>
        </w:rPr>
        <w:t>答：自创新创业实践学分列入培养方案以来，学分认定的一贯规则是当学期认定上一学期取得的成果。如果目前仍有在申报时间范围以外的成果未认定学分，属于逾期未申报。此类情况学生仍可以提交申请，并在</w:t>
      </w:r>
      <w:r>
        <w:rPr>
          <w:rFonts w:hint="eastAsia"/>
          <w:lang w:eastAsia="zh-CN"/>
        </w:rPr>
        <w:t>教务系统“创新学分申请”页面</w:t>
      </w:r>
      <w:r>
        <w:rPr>
          <w:rFonts w:hint="eastAsia"/>
        </w:rPr>
        <w:t>中的“</w:t>
      </w:r>
      <w:r>
        <w:rPr>
          <w:rFonts w:hint="eastAsia"/>
          <w:lang w:eastAsia="zh-CN"/>
        </w:rPr>
        <w:t>备注</w:t>
      </w:r>
      <w:r>
        <w:rPr>
          <w:rFonts w:hint="eastAsia"/>
        </w:rPr>
        <w:t>”</w:t>
      </w:r>
      <w:r>
        <w:rPr>
          <w:rFonts w:hint="eastAsia"/>
          <w:lang w:eastAsia="zh-CN"/>
        </w:rPr>
        <w:t>栏内填入</w:t>
      </w:r>
      <w:r>
        <w:rPr>
          <w:rFonts w:hint="eastAsia"/>
        </w:rPr>
        <w:t>“往期成果”，</w:t>
      </w:r>
      <w:r>
        <w:rPr>
          <w:rFonts w:hint="eastAsia"/>
          <w:lang w:eastAsia="zh-CN"/>
        </w:rPr>
        <w:t>将往期未申请认定的特殊情况进行说明。</w:t>
      </w:r>
      <w:r>
        <w:rPr>
          <w:rFonts w:hint="eastAsia"/>
        </w:rPr>
        <w:t>审核部门确认成果符合条件且未曾申报，将予以通过。</w:t>
      </w:r>
    </w:p>
    <w:p>
      <w:pPr>
        <w:spacing w:line="276" w:lineRule="auto"/>
      </w:pPr>
    </w:p>
    <w:p>
      <w:pPr>
        <w:spacing w:line="276" w:lineRule="auto"/>
        <w:rPr>
          <w:b/>
          <w:bCs/>
        </w:rPr>
      </w:pPr>
      <w:r>
        <w:rPr>
          <w:rFonts w:hint="eastAsia"/>
          <w:b/>
          <w:bCs/>
        </w:rPr>
        <w:t>3</w:t>
      </w:r>
      <w:r>
        <w:rPr>
          <w:b/>
          <w:bCs/>
        </w:rPr>
        <w:t>.</w:t>
      </w:r>
      <w:r>
        <w:rPr>
          <w:rFonts w:hint="eastAsia"/>
          <w:b/>
          <w:bCs/>
        </w:rPr>
        <w:t>入学之前考取的驾驶证可以认定学分吗？</w:t>
      </w:r>
    </w:p>
    <w:p>
      <w:pPr>
        <w:spacing w:line="276" w:lineRule="auto"/>
      </w:pPr>
      <w:r>
        <w:rPr>
          <w:rFonts w:hint="eastAsia"/>
        </w:rPr>
        <w:t>答：可以。驾驶证认定学分不受上述申报时间范围约束，但依然请同学们第一时间提交申报。</w:t>
      </w:r>
    </w:p>
    <w:p>
      <w:pPr>
        <w:spacing w:line="276" w:lineRule="auto"/>
      </w:pPr>
    </w:p>
    <w:p>
      <w:pPr>
        <w:spacing w:line="276" w:lineRule="auto"/>
        <w:rPr>
          <w:b/>
          <w:bCs/>
        </w:rPr>
      </w:pPr>
      <w:r>
        <w:rPr>
          <w:b/>
          <w:bCs/>
        </w:rPr>
        <w:t>4.</w:t>
      </w:r>
      <w:r>
        <w:rPr>
          <w:rFonts w:hint="eastAsia"/>
          <w:b/>
          <w:bCs/>
        </w:rPr>
        <w:t>英语四六级成绩单、计算机等级证书、普通话水平测试证书可以认定吗？</w:t>
      </w:r>
    </w:p>
    <w:p>
      <w:pPr>
        <w:spacing w:line="276" w:lineRule="auto"/>
        <w:rPr>
          <w:rFonts w:ascii="Helvetica" w:hAnsi="Helvetica" w:cs="Helvetica"/>
          <w:color w:val="333333"/>
          <w:szCs w:val="21"/>
          <w:shd w:val="clear" w:color="auto" w:fill="FFFFFF"/>
        </w:rPr>
      </w:pPr>
      <w:r>
        <w:rPr>
          <w:rFonts w:hint="eastAsia"/>
        </w:rPr>
        <w:t>答：上述文件不属于职业资格或技能证书范围，因此无法认定学分。</w:t>
      </w:r>
      <w:r>
        <w:rPr>
          <w:rFonts w:ascii="Helvetica" w:hAnsi="Helvetica" w:cs="Helvetica"/>
          <w:color w:val="333333"/>
          <w:szCs w:val="21"/>
          <w:shd w:val="clear" w:color="auto" w:fill="FFFFFF"/>
        </w:rPr>
        <w:t>职业资格</w:t>
      </w:r>
      <w:r>
        <w:rPr>
          <w:rFonts w:hint="eastAsia" w:ascii="Helvetica" w:hAnsi="Helvetica" w:cs="Helvetica"/>
          <w:color w:val="333333"/>
          <w:szCs w:val="21"/>
          <w:shd w:val="clear" w:color="auto" w:fill="FFFFFF"/>
        </w:rPr>
        <w:t>证书是从事某项职业的准入证明，例如教师资格证等；职业技能证书证明如持证人的技能水平，如电工、汽车维修工、电子商务师等。除</w:t>
      </w:r>
      <w:r>
        <w:rPr>
          <w:rFonts w:ascii="Helvetica" w:hAnsi="Helvetica" w:cs="Helvetica"/>
          <w:color w:val="333333"/>
          <w:szCs w:val="21"/>
          <w:shd w:val="clear" w:color="auto" w:fill="FFFFFF"/>
        </w:rPr>
        <w:t>人力资源社会保障部</w:t>
      </w:r>
      <w:r>
        <w:rPr>
          <w:rFonts w:hint="eastAsia" w:ascii="Helvetica" w:hAnsi="Helvetica" w:cs="Helvetica"/>
          <w:color w:val="333333"/>
          <w:szCs w:val="21"/>
          <w:shd w:val="clear" w:color="auto" w:fill="FFFFFF"/>
        </w:rPr>
        <w:t>、教育部颁发的证书以外，允许各学院认定其他机构颁发的与本专业学科有关的职业资格或技能等级证书。</w:t>
      </w:r>
    </w:p>
    <w:p>
      <w:pPr>
        <w:spacing w:line="276" w:lineRule="auto"/>
        <w:rPr>
          <w:rFonts w:ascii="Helvetica" w:hAnsi="Helvetica" w:cs="Helvetica"/>
          <w:color w:val="333333"/>
          <w:szCs w:val="21"/>
          <w:shd w:val="clear" w:color="auto" w:fill="FFFFFF"/>
        </w:rPr>
      </w:pPr>
    </w:p>
    <w:p>
      <w:pPr>
        <w:spacing w:line="276" w:lineRule="auto"/>
        <w:rPr>
          <w:rFonts w:ascii="Helvetica" w:hAnsi="Helvetica" w:cs="Helvetica"/>
          <w:b/>
          <w:bCs/>
          <w:color w:val="333333"/>
          <w:szCs w:val="21"/>
          <w:shd w:val="clear" w:color="auto" w:fill="FFFFFF"/>
        </w:rPr>
      </w:pPr>
      <w:r>
        <w:rPr>
          <w:rFonts w:hint="eastAsia" w:ascii="Helvetica" w:hAnsi="Helvetica" w:cs="Helvetica"/>
          <w:b/>
          <w:bCs/>
          <w:color w:val="333333"/>
          <w:szCs w:val="21"/>
          <w:shd w:val="clear" w:color="auto" w:fill="FFFFFF"/>
        </w:rPr>
        <w:t>5</w:t>
      </w:r>
      <w:r>
        <w:rPr>
          <w:rFonts w:ascii="Helvetica" w:hAnsi="Helvetica" w:cs="Helvetica"/>
          <w:b/>
          <w:bCs/>
          <w:color w:val="333333"/>
          <w:szCs w:val="21"/>
          <w:shd w:val="clear" w:color="auto" w:fill="FFFFFF"/>
        </w:rPr>
        <w:t>.</w:t>
      </w:r>
      <w:r>
        <w:rPr>
          <w:rFonts w:hint="eastAsia" w:ascii="Helvetica" w:hAnsi="Helvetica" w:cs="Helvetica"/>
          <w:b/>
          <w:bCs/>
          <w:color w:val="333333"/>
          <w:szCs w:val="21"/>
          <w:shd w:val="clear" w:color="auto" w:fill="FFFFFF"/>
        </w:rPr>
        <w:t>学科竞赛获奖认定学分参照哪一份标准？</w:t>
      </w:r>
    </w:p>
    <w:p>
      <w:pPr>
        <w:spacing w:after="156" w:afterLines="50" w:line="276" w:lineRule="auto"/>
        <w:rPr>
          <w:rFonts w:hint="eastAsia" w:ascii="Helvetica" w:hAnsi="Helvetica" w:cs="Helvetica"/>
          <w:color w:val="333333"/>
          <w:szCs w:val="21"/>
          <w:shd w:val="clear" w:color="auto" w:fill="FFFFFF"/>
        </w:rPr>
      </w:pPr>
      <w:r>
        <w:rPr>
          <w:rFonts w:hint="eastAsia" w:ascii="Helvetica" w:hAnsi="Helvetica" w:cs="Helvetica"/>
          <w:color w:val="333333"/>
          <w:szCs w:val="21"/>
          <w:shd w:val="clear" w:color="auto" w:fill="FFFFFF"/>
        </w:rPr>
        <w:t>答：参照本次认定通知正文中的表格，具体如下：</w:t>
      </w:r>
    </w:p>
    <w:tbl>
      <w:tblPr>
        <w:tblStyle w:val="2"/>
        <w:tblW w:w="835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31"/>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431" w:type="dxa"/>
            <w:vAlign w:val="center"/>
          </w:tcPr>
          <w:p>
            <w:pPr>
              <w:pStyle w:val="4"/>
              <w:rPr>
                <w:rFonts w:hint="eastAsia" w:ascii="仿宋_GB2312" w:eastAsia="仿宋_GB2312"/>
                <w:b/>
                <w:bCs/>
                <w:szCs w:val="21"/>
              </w:rPr>
            </w:pPr>
            <w:r>
              <w:rPr>
                <w:rFonts w:hint="eastAsia" w:ascii="仿宋_GB2312" w:eastAsia="仿宋_GB2312"/>
                <w:b/>
                <w:bCs/>
                <w:szCs w:val="21"/>
              </w:rPr>
              <w:t>竞赛类别与获奖等级</w:t>
            </w:r>
          </w:p>
        </w:tc>
        <w:tc>
          <w:tcPr>
            <w:tcW w:w="2922" w:type="dxa"/>
            <w:vAlign w:val="center"/>
          </w:tcPr>
          <w:p>
            <w:pPr>
              <w:pStyle w:val="4"/>
              <w:rPr>
                <w:rFonts w:hint="eastAsia" w:ascii="仿宋_GB2312" w:hAnsi="Arial" w:eastAsia="仿宋_GB2312" w:cs="Arial"/>
                <w:b/>
                <w:bCs/>
                <w:szCs w:val="21"/>
              </w:rPr>
            </w:pPr>
            <w:r>
              <w:rPr>
                <w:rFonts w:hint="eastAsia" w:ascii="仿宋_GB2312" w:hAnsi="Arial" w:eastAsia="仿宋_GB2312" w:cs="Arial"/>
                <w:b/>
                <w:bCs/>
                <w:szCs w:val="21"/>
              </w:rPr>
              <w:t>认定学分值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431" w:type="dxa"/>
            <w:vAlign w:val="center"/>
          </w:tcPr>
          <w:p>
            <w:pPr>
              <w:pStyle w:val="4"/>
              <w:rPr>
                <w:rFonts w:ascii="仿宋_GB2312" w:eastAsia="仿宋_GB2312"/>
                <w:szCs w:val="21"/>
              </w:rPr>
            </w:pPr>
            <w:r>
              <w:rPr>
                <w:rFonts w:hint="eastAsia" w:ascii="仿宋_GB2312" w:eastAsia="仿宋_GB2312"/>
                <w:szCs w:val="21"/>
              </w:rPr>
              <w:t>A类国家级</w:t>
            </w:r>
          </w:p>
        </w:tc>
        <w:tc>
          <w:tcPr>
            <w:tcW w:w="2922" w:type="dxa"/>
            <w:vAlign w:val="center"/>
          </w:tcPr>
          <w:p>
            <w:pPr>
              <w:pStyle w:val="4"/>
              <w:rPr>
                <w:rFonts w:ascii="仿宋_GB2312" w:hAnsi="Arial" w:eastAsia="仿宋_GB2312" w:cs="Arial"/>
                <w:szCs w:val="21"/>
              </w:rPr>
            </w:pPr>
            <w:r>
              <w:rPr>
                <w:rFonts w:hint="eastAsia" w:ascii="仿宋_GB2312" w:hAnsi="Arial" w:eastAsia="仿宋_GB2312" w:cs="Arial"/>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431" w:type="dxa"/>
            <w:vAlign w:val="center"/>
          </w:tcPr>
          <w:p>
            <w:pPr>
              <w:pStyle w:val="4"/>
              <w:rPr>
                <w:rFonts w:ascii="仿宋_GB2312" w:eastAsia="仿宋_GB2312"/>
                <w:szCs w:val="21"/>
              </w:rPr>
            </w:pPr>
            <w:r>
              <w:rPr>
                <w:rFonts w:hint="eastAsia" w:ascii="仿宋_GB2312" w:eastAsia="仿宋_GB2312"/>
                <w:szCs w:val="21"/>
              </w:rPr>
              <w:t>B类国家级</w:t>
            </w:r>
          </w:p>
        </w:tc>
        <w:tc>
          <w:tcPr>
            <w:tcW w:w="2922" w:type="dxa"/>
            <w:vAlign w:val="center"/>
          </w:tcPr>
          <w:p>
            <w:pPr>
              <w:pStyle w:val="4"/>
              <w:rPr>
                <w:rFonts w:ascii="仿宋_GB2312" w:hAnsi="Arial" w:eastAsia="仿宋_GB2312" w:cs="Arial"/>
                <w:szCs w:val="21"/>
              </w:rPr>
            </w:pPr>
            <w:r>
              <w:rPr>
                <w:rFonts w:hint="eastAsia" w:ascii="仿宋_GB2312" w:hAnsi="Arial" w:eastAsia="仿宋_GB2312" w:cs="Arial"/>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431" w:type="dxa"/>
            <w:vAlign w:val="center"/>
          </w:tcPr>
          <w:p>
            <w:pPr>
              <w:pStyle w:val="4"/>
              <w:rPr>
                <w:rFonts w:ascii="仿宋_GB2312" w:eastAsia="仿宋_GB2312"/>
                <w:szCs w:val="21"/>
              </w:rPr>
            </w:pPr>
            <w:r>
              <w:rPr>
                <w:rFonts w:hint="eastAsia" w:ascii="仿宋_GB2312" w:eastAsia="仿宋_GB2312"/>
                <w:szCs w:val="21"/>
              </w:rPr>
              <w:t>A类省级</w:t>
            </w:r>
          </w:p>
        </w:tc>
        <w:tc>
          <w:tcPr>
            <w:tcW w:w="2922" w:type="dxa"/>
            <w:vAlign w:val="center"/>
          </w:tcPr>
          <w:p>
            <w:pPr>
              <w:pStyle w:val="4"/>
              <w:rPr>
                <w:rFonts w:ascii="仿宋_GB2312" w:hAnsi="Arial" w:eastAsia="仿宋_GB2312" w:cs="Arial"/>
                <w:szCs w:val="21"/>
              </w:rPr>
            </w:pPr>
            <w:r>
              <w:rPr>
                <w:rFonts w:hint="eastAsia" w:ascii="仿宋_GB2312" w:hAnsi="Arial" w:eastAsia="仿宋_GB2312" w:cs="Arial"/>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431" w:type="dxa"/>
            <w:vAlign w:val="center"/>
          </w:tcPr>
          <w:p>
            <w:pPr>
              <w:pStyle w:val="4"/>
              <w:rPr>
                <w:rFonts w:ascii="仿宋_GB2312" w:eastAsia="仿宋_GB2312"/>
                <w:szCs w:val="21"/>
              </w:rPr>
            </w:pPr>
            <w:r>
              <w:rPr>
                <w:rFonts w:hint="eastAsia" w:ascii="仿宋_GB2312" w:eastAsia="仿宋_GB2312"/>
                <w:szCs w:val="21"/>
              </w:rPr>
              <w:t>B类、C类省级</w:t>
            </w:r>
          </w:p>
        </w:tc>
        <w:tc>
          <w:tcPr>
            <w:tcW w:w="2922" w:type="dxa"/>
            <w:vAlign w:val="center"/>
          </w:tcPr>
          <w:p>
            <w:pPr>
              <w:pStyle w:val="4"/>
              <w:rPr>
                <w:rFonts w:ascii="仿宋_GB2312" w:hAnsi="Arial" w:eastAsia="仿宋_GB2312" w:cs="Arial"/>
                <w:szCs w:val="21"/>
              </w:rPr>
            </w:pPr>
            <w:r>
              <w:rPr>
                <w:rFonts w:hint="eastAsia" w:ascii="仿宋_GB2312" w:hAnsi="Arial" w:eastAsia="仿宋_GB2312" w:cs="Arial"/>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431" w:type="dxa"/>
            <w:vAlign w:val="center"/>
          </w:tcPr>
          <w:p>
            <w:pPr>
              <w:pStyle w:val="4"/>
              <w:rPr>
                <w:rFonts w:ascii="仿宋_GB2312" w:eastAsia="仿宋_GB2312"/>
                <w:szCs w:val="21"/>
              </w:rPr>
            </w:pPr>
            <w:r>
              <w:rPr>
                <w:rFonts w:hint="eastAsia" w:ascii="仿宋_GB2312" w:eastAsia="仿宋_GB2312"/>
                <w:szCs w:val="21"/>
              </w:rPr>
              <w:t>D类校级</w:t>
            </w:r>
          </w:p>
        </w:tc>
        <w:tc>
          <w:tcPr>
            <w:tcW w:w="2922" w:type="dxa"/>
            <w:vAlign w:val="center"/>
          </w:tcPr>
          <w:p>
            <w:pPr>
              <w:pStyle w:val="4"/>
              <w:rPr>
                <w:rFonts w:ascii="仿宋_GB2312" w:hAnsi="Arial" w:eastAsia="仿宋_GB2312" w:cs="Arial"/>
                <w:szCs w:val="21"/>
              </w:rPr>
            </w:pPr>
            <w:r>
              <w:rPr>
                <w:rFonts w:hint="eastAsia" w:ascii="仿宋_GB2312" w:hAnsi="Arial" w:eastAsia="仿宋_GB2312" w:cs="Arial"/>
                <w:szCs w:val="21"/>
              </w:rPr>
              <w:t>1</w:t>
            </w:r>
          </w:p>
        </w:tc>
      </w:tr>
    </w:tbl>
    <w:p>
      <w:pPr>
        <w:spacing w:line="276" w:lineRule="auto"/>
        <w:jc w:val="right"/>
        <w:rPr>
          <w:rFonts w:hint="eastAsia" w:ascii="Helvetica" w:hAnsi="Helvetica" w:cs="Helvetica"/>
          <w:color w:val="333333"/>
          <w:sz w:val="18"/>
          <w:szCs w:val="18"/>
          <w:shd w:val="clear" w:color="auto" w:fill="FFFFFF"/>
        </w:rPr>
      </w:pPr>
      <w:r>
        <w:rPr>
          <w:rFonts w:hint="eastAsia" w:ascii="Helvetica" w:hAnsi="Helvetica" w:cs="Helvetica"/>
          <w:color w:val="333333"/>
          <w:sz w:val="18"/>
          <w:szCs w:val="18"/>
          <w:shd w:val="clear" w:color="auto" w:fill="FFFFFF"/>
        </w:rPr>
        <w:t xml:space="preserve"> </w:t>
      </w:r>
      <w:r>
        <w:rPr>
          <w:rFonts w:ascii="Helvetica" w:hAnsi="Helvetica" w:cs="Helvetica"/>
          <w:color w:val="333333"/>
          <w:sz w:val="18"/>
          <w:szCs w:val="18"/>
          <w:shd w:val="clear" w:color="auto" w:fill="FFFFFF"/>
        </w:rPr>
        <w:t xml:space="preserve"> </w:t>
      </w:r>
      <w:r>
        <w:rPr>
          <w:rFonts w:hint="eastAsia" w:ascii="Helvetica" w:hAnsi="Helvetica" w:cs="Helvetica"/>
          <w:color w:val="333333"/>
          <w:sz w:val="18"/>
          <w:szCs w:val="18"/>
          <w:shd w:val="clear" w:color="auto" w:fill="FFFFFF"/>
        </w:rPr>
        <w:t>（通知文件附件一中学科竞赛认定学分标准自2</w:t>
      </w:r>
      <w:r>
        <w:rPr>
          <w:rFonts w:ascii="Helvetica" w:hAnsi="Helvetica" w:cs="Helvetica"/>
          <w:color w:val="333333"/>
          <w:sz w:val="18"/>
          <w:szCs w:val="18"/>
          <w:shd w:val="clear" w:color="auto" w:fill="FFFFFF"/>
        </w:rPr>
        <w:t>022</w:t>
      </w:r>
      <w:r>
        <w:rPr>
          <w:rFonts w:hint="eastAsia" w:ascii="Helvetica" w:hAnsi="Helvetica" w:cs="Helvetica"/>
          <w:color w:val="333333"/>
          <w:sz w:val="18"/>
          <w:szCs w:val="18"/>
          <w:shd w:val="clear" w:color="auto" w:fill="FFFFFF"/>
        </w:rPr>
        <w:t>年起已不再适用）</w:t>
      </w:r>
    </w:p>
    <w:p>
      <w:pPr>
        <w:spacing w:line="276" w:lineRule="auto"/>
        <w:rPr>
          <w:rFonts w:ascii="Helvetica" w:hAnsi="Helvetica" w:cs="Helvetica"/>
          <w:b/>
          <w:bCs/>
          <w:color w:val="333333"/>
          <w:szCs w:val="21"/>
          <w:shd w:val="clear" w:color="auto" w:fill="FFFFFF"/>
        </w:rPr>
      </w:pPr>
    </w:p>
    <w:p>
      <w:pPr>
        <w:spacing w:line="276" w:lineRule="auto"/>
        <w:rPr>
          <w:rFonts w:ascii="Helvetica" w:hAnsi="Helvetica" w:cs="Helvetica"/>
          <w:b/>
          <w:bCs/>
          <w:color w:val="333333"/>
          <w:szCs w:val="21"/>
          <w:shd w:val="clear" w:color="auto" w:fill="FFFFFF"/>
        </w:rPr>
      </w:pPr>
      <w:r>
        <w:rPr>
          <w:rFonts w:ascii="Helvetica" w:hAnsi="Helvetica" w:cs="Helvetica"/>
          <w:b/>
          <w:bCs/>
          <w:color w:val="333333"/>
          <w:szCs w:val="21"/>
          <w:shd w:val="clear" w:color="auto" w:fill="FFFFFF"/>
        </w:rPr>
        <w:t>6</w:t>
      </w:r>
      <w:r>
        <w:rPr>
          <w:rFonts w:hint="eastAsia" w:ascii="Helvetica" w:hAnsi="Helvetica" w:cs="Helvetica"/>
          <w:b/>
          <w:bCs/>
          <w:color w:val="333333"/>
          <w:szCs w:val="21"/>
          <w:shd w:val="clear" w:color="auto" w:fill="FFFFFF"/>
        </w:rPr>
        <w:t>.不在学校学科竞赛目录中的比赛奖项，可以认定学分吗？</w:t>
      </w:r>
    </w:p>
    <w:p>
      <w:pPr>
        <w:spacing w:line="276" w:lineRule="auto"/>
        <w:rPr>
          <w:rFonts w:ascii="Helvetica" w:hAnsi="Helvetica" w:cs="Helvetica"/>
          <w:color w:val="333333"/>
          <w:szCs w:val="21"/>
          <w:shd w:val="clear" w:color="auto" w:fill="FFFFFF"/>
        </w:rPr>
      </w:pPr>
      <w:r>
        <w:rPr>
          <w:rFonts w:hint="eastAsia" w:ascii="Helvetica" w:hAnsi="Helvetica" w:cs="Helvetica"/>
          <w:color w:val="333333"/>
          <w:szCs w:val="21"/>
          <w:shd w:val="clear" w:color="auto" w:fill="FFFFFF"/>
        </w:rPr>
        <w:t>答：学校认可的学科竞赛请参照《厦门工学院学科竞赛管理与奖励办法（2</w:t>
      </w:r>
      <w:r>
        <w:rPr>
          <w:rFonts w:ascii="Helvetica" w:hAnsi="Helvetica" w:cs="Helvetica"/>
          <w:color w:val="333333"/>
          <w:szCs w:val="21"/>
          <w:shd w:val="clear" w:color="auto" w:fill="FFFFFF"/>
        </w:rPr>
        <w:t>022</w:t>
      </w:r>
      <w:r>
        <w:rPr>
          <w:rFonts w:hint="eastAsia" w:ascii="Helvetica" w:hAnsi="Helvetica" w:cs="Helvetica"/>
          <w:color w:val="333333"/>
          <w:szCs w:val="21"/>
          <w:shd w:val="clear" w:color="auto" w:fill="FFFFFF"/>
        </w:rPr>
        <w:t>年修订）》文件，共计1</w:t>
      </w:r>
      <w:r>
        <w:rPr>
          <w:rFonts w:ascii="Helvetica" w:hAnsi="Helvetica" w:cs="Helvetica"/>
          <w:color w:val="333333"/>
          <w:szCs w:val="21"/>
          <w:shd w:val="clear" w:color="auto" w:fill="FFFFFF"/>
        </w:rPr>
        <w:t>09</w:t>
      </w:r>
      <w:r>
        <w:rPr>
          <w:rFonts w:hint="eastAsia" w:ascii="Helvetica" w:hAnsi="Helvetica" w:cs="Helvetica"/>
          <w:color w:val="333333"/>
          <w:szCs w:val="21"/>
          <w:shd w:val="clear" w:color="auto" w:fill="FFFFFF"/>
        </w:rPr>
        <w:t>项竞赛，可在教务与招生处网站“实践教学”栏目中下载查看。另外，以学校名义举行的校级学科技能竞赛也在认定范围内。上述竞赛以外的项目无法认定。</w:t>
      </w:r>
    </w:p>
    <w:p>
      <w:pPr>
        <w:spacing w:line="276" w:lineRule="auto"/>
        <w:rPr>
          <w:rFonts w:ascii="Helvetica" w:hAnsi="Helvetica" w:cs="Helvetica"/>
          <w:color w:val="333333"/>
          <w:szCs w:val="21"/>
          <w:shd w:val="clear" w:color="auto" w:fill="FFFFFF"/>
        </w:rPr>
      </w:pPr>
    </w:p>
    <w:p>
      <w:pPr>
        <w:spacing w:line="276" w:lineRule="auto"/>
        <w:rPr>
          <w:b/>
          <w:bCs/>
        </w:rPr>
      </w:pPr>
    </w:p>
    <w:p>
      <w:pPr>
        <w:spacing w:line="276" w:lineRule="auto"/>
        <w:rPr>
          <w:b/>
          <w:bCs/>
        </w:rPr>
      </w:pPr>
      <w:r>
        <w:rPr>
          <w:b/>
          <w:bCs/>
        </w:rPr>
        <w:t>7.</w:t>
      </w:r>
      <w:r>
        <w:rPr>
          <w:rFonts w:hint="eastAsia"/>
          <w:b/>
          <w:bCs/>
        </w:rPr>
        <w:t>为什么我在成绩库里看不到以前的创新创业实践学分了？</w:t>
      </w:r>
    </w:p>
    <w:p>
      <w:pPr>
        <w:spacing w:line="276" w:lineRule="auto"/>
      </w:pPr>
      <w:r>
        <w:rPr>
          <w:rFonts w:hint="eastAsia"/>
        </w:rPr>
        <w:t>答：创新创业实践学分是独立的学分模块，新版教务系统当中不再列入成绩库。学分获得情况可在教务系统菜单“实践环节”→“创新学分”→“创新学分查询”中查看。</w:t>
      </w:r>
    </w:p>
    <w:p>
      <w:pPr>
        <w:spacing w:line="276" w:lineRule="auto"/>
        <w:rPr>
          <w:rFonts w:hint="eastAsia"/>
        </w:rPr>
      </w:pPr>
    </w:p>
    <w:p>
      <w:pPr>
        <w:spacing w:line="276" w:lineRule="auto"/>
        <w:rPr>
          <w:b/>
          <w:bCs/>
        </w:rPr>
      </w:pPr>
      <w:r>
        <w:rPr>
          <w:b/>
          <w:bCs/>
        </w:rPr>
        <w:t>8.</w:t>
      </w:r>
      <w:r>
        <w:rPr>
          <w:rFonts w:hint="eastAsia"/>
          <w:b/>
          <w:bCs/>
        </w:rPr>
        <w:t>哪一些项目不需要在教务系统中提交学分认定申请？</w:t>
      </w:r>
    </w:p>
    <w:p>
      <w:pPr>
        <w:spacing w:line="276" w:lineRule="auto"/>
      </w:pPr>
      <w:r>
        <w:rPr>
          <w:rFonts w:hint="eastAsia"/>
        </w:rPr>
        <w:t>答：①“互联网+”创新创业大赛（含获奖、参赛）</w:t>
      </w:r>
    </w:p>
    <w:p>
      <w:pPr>
        <w:spacing w:line="276" w:lineRule="auto"/>
        <w:ind w:firstLine="420" w:firstLineChars="200"/>
      </w:pPr>
      <w:r>
        <w:rPr>
          <w:rFonts w:hint="eastAsia"/>
        </w:rPr>
        <w:t>②创新创业训练营</w:t>
      </w:r>
    </w:p>
    <w:p>
      <w:pPr>
        <w:spacing w:line="276" w:lineRule="auto"/>
        <w:ind w:firstLine="420" w:firstLineChars="200"/>
      </w:pPr>
      <w:r>
        <w:rPr>
          <w:rFonts w:hint="eastAsia"/>
        </w:rPr>
        <w:t>③通过厦门工学院职业技能鉴定站报名培训获取的证书</w:t>
      </w:r>
    </w:p>
    <w:p/>
    <w:p>
      <w:pPr>
        <w:rPr>
          <w:b/>
          <w:bCs/>
        </w:rPr>
      </w:pPr>
      <w:r>
        <w:rPr>
          <w:b/>
          <w:bCs/>
        </w:rPr>
        <w:t>9.</w:t>
      </w:r>
      <w:r>
        <w:rPr>
          <w:rFonts w:hint="eastAsia"/>
          <w:b/>
          <w:bCs/>
        </w:rPr>
        <w:t>提交学分认定申请时，附件有什么要求吗？</w:t>
      </w:r>
    </w:p>
    <w:p>
      <w:pPr>
        <w:rPr>
          <w:rFonts w:hint="eastAsia"/>
        </w:rPr>
      </w:pPr>
      <w:r>
        <w:rPr>
          <w:rFonts w:hint="eastAsia"/>
        </w:rPr>
        <w:t>答：各类项目附件要求不同，请同学们在选择认定项目的时候仔细对照“认定要求”，上传相应的附件。获奖证明、证书类文件建议使用pdf、jpg格式；由于word文档的可编辑属性，尽量避免上传doc文件。提交驾驶证认定的，推荐使用公安部“1</w:t>
      </w:r>
      <w:r>
        <w:t>2123</w:t>
      </w:r>
      <w:r>
        <w:rPr>
          <w:rFonts w:hint="eastAsia"/>
        </w:rPr>
        <w:t>”手机APP生成电子版驾驶证并截图上传，有利于尽快通过审核。</w:t>
      </w:r>
    </w:p>
    <w:p>
      <w:pPr>
        <w:rPr>
          <w:rFonts w:hint="eastAsia"/>
        </w:rPr>
      </w:pPr>
    </w:p>
    <w:p>
      <w:pPr>
        <w:rPr>
          <w:b/>
          <w:bCs/>
        </w:rPr>
      </w:pPr>
      <w:r>
        <w:rPr>
          <w:rFonts w:hint="eastAsia"/>
          <w:b/>
          <w:bCs/>
          <w:lang w:val="en-US" w:eastAsia="zh-CN"/>
        </w:rPr>
        <w:t>10</w:t>
      </w:r>
      <w:r>
        <w:rPr>
          <w:b/>
          <w:bCs/>
        </w:rPr>
        <w:t>.</w:t>
      </w:r>
      <w:r>
        <w:rPr>
          <w:rFonts w:hint="eastAsia"/>
          <w:b/>
          <w:bCs/>
        </w:rPr>
        <w:t>提交学分认定申请时，</w:t>
      </w:r>
      <w:r>
        <w:rPr>
          <w:rFonts w:hint="eastAsia"/>
          <w:b/>
          <w:bCs/>
          <w:lang w:eastAsia="zh-CN"/>
        </w:rPr>
        <w:t>需要提交《</w:t>
      </w:r>
      <w:r>
        <w:rPr>
          <w:rFonts w:hint="eastAsia"/>
          <w:b/>
          <w:bCs/>
        </w:rPr>
        <w:t>创新实践学分个人申请表</w:t>
      </w:r>
      <w:r>
        <w:rPr>
          <w:rFonts w:hint="eastAsia"/>
          <w:b/>
          <w:bCs/>
          <w:lang w:eastAsia="zh-CN"/>
        </w:rPr>
        <w:t>》</w:t>
      </w:r>
      <w:r>
        <w:rPr>
          <w:rFonts w:hint="eastAsia"/>
          <w:b/>
          <w:bCs/>
        </w:rPr>
        <w:t>吗？</w:t>
      </w:r>
    </w:p>
    <w:p>
      <w:pPr>
        <w:rPr>
          <w:rFonts w:hint="default" w:eastAsiaTheme="minorEastAsia"/>
          <w:lang w:val="en-US" w:eastAsia="zh-CN"/>
        </w:rPr>
      </w:pPr>
      <w:r>
        <w:rPr>
          <w:rFonts w:hint="eastAsia"/>
        </w:rPr>
        <w:t>答：</w:t>
      </w:r>
      <w:r>
        <w:rPr>
          <w:rFonts w:hint="eastAsia"/>
          <w:lang w:eastAsia="zh-CN"/>
        </w:rPr>
        <w:t>在</w:t>
      </w:r>
      <w:r>
        <w:rPr>
          <w:rFonts w:hint="eastAsia"/>
        </w:rPr>
        <w:t>申报“大学生创新创业训练计划项目</w:t>
      </w:r>
      <w:r>
        <w:rPr>
          <w:rFonts w:hint="eastAsia"/>
          <w:lang w:eastAsia="zh-CN"/>
        </w:rPr>
        <w:t>（简称‘大创’）</w:t>
      </w:r>
      <w:r>
        <w:rPr>
          <w:rFonts w:hint="eastAsia"/>
        </w:rPr>
        <w:t>”“创业类”项目</w:t>
      </w:r>
      <w:r>
        <w:rPr>
          <w:rFonts w:hint="eastAsia"/>
          <w:lang w:eastAsia="zh-CN"/>
        </w:rPr>
        <w:t>时，需提交《创新实践学分个人申请表》；其他申报项目，无需提交该表。学生填写“大创”“创业类”《创新实践学分个人申请表》时，无需填写“二级学院意见”栏，可直接至学研产企业学院（诚意大厦东</w:t>
      </w:r>
      <w:r>
        <w:rPr>
          <w:rFonts w:hint="eastAsia"/>
          <w:lang w:val="en-US" w:eastAsia="zh-CN"/>
        </w:rPr>
        <w:t>206）进行确认。经</w:t>
      </w:r>
      <w:r>
        <w:rPr>
          <w:rFonts w:hint="eastAsia"/>
          <w:lang w:eastAsia="zh-CN"/>
        </w:rPr>
        <w:t>学研产企业学院</w:t>
      </w:r>
      <w:r>
        <w:rPr>
          <w:rFonts w:hint="eastAsia"/>
          <w:lang w:val="en-US" w:eastAsia="zh-CN"/>
        </w:rPr>
        <w:t>盖章后的申请表作为申请凭证</w:t>
      </w:r>
      <w:bookmarkStart w:id="0" w:name="_GoBack"/>
      <w:bookmarkEnd w:id="0"/>
      <w:r>
        <w:rPr>
          <w:rFonts w:hint="eastAsia"/>
          <w:lang w:val="en-US" w:eastAsia="zh-CN"/>
        </w:rPr>
        <w:t>上传教务系统，不再提交纸质版申请表至学院进行汇总。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1ZGRmNWM3NmJlOTgxZWU5NTExY2IwZTJiOGNlMzgifQ=="/>
  </w:docVars>
  <w:rsids>
    <w:rsidRoot w:val="00320913"/>
    <w:rsid w:val="00320913"/>
    <w:rsid w:val="004509B2"/>
    <w:rsid w:val="00507A6E"/>
    <w:rsid w:val="00517F2D"/>
    <w:rsid w:val="00655451"/>
    <w:rsid w:val="00661929"/>
    <w:rsid w:val="008C44C6"/>
    <w:rsid w:val="00A12FD0"/>
    <w:rsid w:val="00A878FD"/>
    <w:rsid w:val="00C31E19"/>
    <w:rsid w:val="00CA01DF"/>
    <w:rsid w:val="089476F5"/>
    <w:rsid w:val="3CD41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Table Paragraph"/>
    <w:basedOn w:val="1"/>
    <w:qFormat/>
    <w:uiPriority w:val="1"/>
    <w:pPr>
      <w:jc w:val="center"/>
    </w:pPr>
    <w:rPr>
      <w:rFonts w:ascii="宋体" w:hAnsi="宋体" w:eastAsia="宋体" w:cs="宋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1324</Words>
  <Characters>1367</Characters>
  <Lines>8</Lines>
  <Paragraphs>2</Paragraphs>
  <TotalTime>15</TotalTime>
  <ScaleCrop>false</ScaleCrop>
  <LinksUpToDate>false</LinksUpToDate>
  <CharactersWithSpaces>1369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2023-03-14T09:27:00Z</dcterms:created>
  <dc:creator>A14086</dc:creator>
  <cp:lastModifiedBy>Administrator</cp:lastModifiedBy>
  <dcterms:modified xsi:type="dcterms:W3CDTF">2023-03-15T12:49:26Z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113B2B6BEED7465D9F6A4839413D9D18</vt:lpwstr>
  </property>
</Properties>
</file>