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bCs/>
          <w:sz w:val="36"/>
          <w:szCs w:val="44"/>
        </w:rPr>
      </w:pPr>
      <w:r>
        <w:rPr>
          <w:rFonts w:hint="eastAsia" w:ascii="宋体" w:hAnsi="宋体" w:cs="宋体"/>
          <w:b/>
          <w:color w:val="000000"/>
          <w:kern w:val="0"/>
          <w:sz w:val="36"/>
          <w:szCs w:val="36"/>
        </w:rPr>
        <w:t>厦门工学院</w:t>
      </w:r>
      <w:r>
        <w:rPr>
          <w:rFonts w:hint="eastAsia" w:ascii="宋体" w:hAnsi="宋体" w:cs="宋体"/>
          <w:b/>
          <w:color w:val="000000"/>
          <w:kern w:val="0"/>
          <w:sz w:val="36"/>
          <w:szCs w:val="36"/>
          <w:lang w:eastAsia="zh-CN"/>
        </w:rPr>
        <w:t>202</w:t>
      </w:r>
      <w:r>
        <w:rPr>
          <w:rFonts w:hint="eastAsia" w:ascii="宋体" w:hAnsi="宋体" w:cs="宋体"/>
          <w:b/>
          <w:color w:val="000000"/>
          <w:kern w:val="0"/>
          <w:sz w:val="36"/>
          <w:szCs w:val="36"/>
          <w:lang w:val="en-US" w:eastAsia="zh-CN"/>
        </w:rPr>
        <w:t>1</w:t>
      </w:r>
      <w:r>
        <w:rPr>
          <w:rFonts w:hint="eastAsia" w:ascii="宋体" w:hAnsi="宋体" w:cs="宋体"/>
          <w:b/>
          <w:color w:val="000000"/>
          <w:kern w:val="0"/>
          <w:sz w:val="36"/>
          <w:szCs w:val="36"/>
          <w:lang w:eastAsia="zh-CN"/>
        </w:rPr>
        <w:t>届</w:t>
      </w:r>
      <w:r>
        <w:rPr>
          <w:rFonts w:hint="eastAsia" w:ascii="宋体" w:hAnsi="宋体" w:cs="宋体"/>
          <w:b/>
          <w:color w:val="000000"/>
          <w:kern w:val="0"/>
          <w:sz w:val="36"/>
          <w:szCs w:val="36"/>
        </w:rPr>
        <w:t>本科毕业生信息</w:t>
      </w:r>
    </w:p>
    <w:tbl>
      <w:tblPr>
        <w:tblStyle w:val="2"/>
        <w:tblW w:w="4998" w:type="pct"/>
        <w:tblInd w:w="0" w:type="dxa"/>
        <w:tblLayout w:type="autofit"/>
        <w:tblCellMar>
          <w:top w:w="15" w:type="dxa"/>
          <w:left w:w="15" w:type="dxa"/>
          <w:bottom w:w="15" w:type="dxa"/>
          <w:right w:w="15" w:type="dxa"/>
        </w:tblCellMar>
      </w:tblPr>
      <w:tblGrid>
        <w:gridCol w:w="1597"/>
        <w:gridCol w:w="2834"/>
        <w:gridCol w:w="504"/>
        <w:gridCol w:w="1121"/>
        <w:gridCol w:w="1618"/>
        <w:gridCol w:w="659"/>
      </w:tblGrid>
      <w:tr>
        <w:tblPrEx>
          <w:tblCellMar>
            <w:top w:w="15" w:type="dxa"/>
            <w:left w:w="15" w:type="dxa"/>
            <w:bottom w:w="15" w:type="dxa"/>
            <w:right w:w="15" w:type="dxa"/>
          </w:tblCellMar>
        </w:tblPrEx>
        <w:trPr>
          <w:trHeight w:val="340" w:hRule="atLeast"/>
        </w:trPr>
        <w:tc>
          <w:tcPr>
            <w:tcW w:w="9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二级学院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专业</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学历</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学制</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人数</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合计</w:t>
            </w:r>
          </w:p>
        </w:tc>
      </w:tr>
      <w:tr>
        <w:tblPrEx>
          <w:tblCellMar>
            <w:top w:w="15" w:type="dxa"/>
            <w:left w:w="15" w:type="dxa"/>
            <w:bottom w:w="15" w:type="dxa"/>
            <w:right w:w="15" w:type="dxa"/>
          </w:tblCellMar>
        </w:tblPrEx>
        <w:trPr>
          <w:trHeight w:val="340" w:hRule="atLeast"/>
        </w:trPr>
        <w:tc>
          <w:tcPr>
            <w:tcW w:w="95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机械与制造工程学院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机械工程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131</w:t>
            </w:r>
          </w:p>
        </w:tc>
        <w:tc>
          <w:tcPr>
            <w:tcW w:w="39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247</w:t>
            </w: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机械电子</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eastAsia="zh-CN" w:bidi="ar"/>
              </w:rPr>
              <w:t>四</w:t>
            </w:r>
            <w:r>
              <w:rPr>
                <w:rFonts w:hint="eastAsia" w:ascii="宋体" w:hAnsi="宋体" w:cs="宋体"/>
                <w:color w:val="auto"/>
                <w:kern w:val="0"/>
                <w:sz w:val="20"/>
                <w:szCs w:val="20"/>
                <w:lang w:bidi="ar"/>
              </w:rPr>
              <w:t>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24</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测控技术与仪器</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28</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材料科学与工程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24</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新能源材料与器件</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30</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汽车服务工程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10</w:t>
            </w:r>
          </w:p>
        </w:tc>
        <w:tc>
          <w:tcPr>
            <w:tcW w:w="395" w:type="pct"/>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电子信息与电气工程学院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电气工程及其自动化</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144</w:t>
            </w:r>
          </w:p>
        </w:tc>
        <w:tc>
          <w:tcPr>
            <w:tcW w:w="395" w:type="pct"/>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0"/>
                <w:szCs w:val="20"/>
                <w:lang w:bidi="ar"/>
              </w:rPr>
            </w:pPr>
          </w:p>
          <w:p>
            <w:pPr>
              <w:jc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445</w:t>
            </w:r>
          </w:p>
          <w:p>
            <w:pP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自动化</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29</w:t>
            </w:r>
          </w:p>
        </w:tc>
        <w:tc>
          <w:tcPr>
            <w:tcW w:w="395" w:type="pct"/>
            <w:vMerge w:val="continue"/>
            <w:tcBorders>
              <w:left w:val="single" w:color="auto" w:sz="4" w:space="0"/>
              <w:right w:val="single" w:color="auto" w:sz="4" w:space="0"/>
            </w:tcBorders>
            <w:noWrap w:val="0"/>
            <w:vAlign w:val="center"/>
          </w:tcPr>
          <w:p>
            <w:pP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电子信息工程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84</w:t>
            </w:r>
          </w:p>
        </w:tc>
        <w:tc>
          <w:tcPr>
            <w:tcW w:w="395" w:type="pct"/>
            <w:vMerge w:val="continue"/>
            <w:tcBorders>
              <w:left w:val="single" w:color="auto" w:sz="4" w:space="0"/>
              <w:right w:val="single" w:color="auto" w:sz="4" w:space="0"/>
            </w:tcBorders>
            <w:noWrap w:val="0"/>
            <w:vAlign w:val="center"/>
          </w:tcPr>
          <w:p>
            <w:pP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光电信息科学与工程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DengXian" w:cs="宋体"/>
                <w:color w:val="auto"/>
                <w:sz w:val="20"/>
                <w:szCs w:val="20"/>
                <w:lang w:val="en-US" w:eastAsia="zh-CN"/>
              </w:rPr>
            </w:pPr>
            <w:r>
              <w:rPr>
                <w:rFonts w:hint="eastAsia" w:ascii="宋体" w:hAnsi="宋体" w:cs="宋体"/>
                <w:color w:val="auto"/>
                <w:kern w:val="0"/>
                <w:sz w:val="20"/>
                <w:szCs w:val="20"/>
                <w:lang w:val="en-US" w:eastAsia="zh-CN" w:bidi="ar"/>
              </w:rPr>
              <w:t>23</w:t>
            </w:r>
          </w:p>
        </w:tc>
        <w:tc>
          <w:tcPr>
            <w:tcW w:w="395" w:type="pct"/>
            <w:vMerge w:val="continue"/>
            <w:tcBorders>
              <w:left w:val="single" w:color="auto" w:sz="4" w:space="0"/>
              <w:right w:val="single" w:color="auto" w:sz="4" w:space="0"/>
            </w:tcBorders>
            <w:noWrap w:val="0"/>
            <w:vAlign w:val="center"/>
          </w:tcPr>
          <w:p>
            <w:pP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通信工程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95</w:t>
            </w:r>
          </w:p>
        </w:tc>
        <w:tc>
          <w:tcPr>
            <w:tcW w:w="395" w:type="pct"/>
            <w:vMerge w:val="continue"/>
            <w:tcBorders>
              <w:left w:val="single" w:color="auto" w:sz="4" w:space="0"/>
              <w:right w:val="single" w:color="auto" w:sz="4" w:space="0"/>
            </w:tcBorders>
            <w:noWrap w:val="0"/>
            <w:vAlign w:val="center"/>
          </w:tcPr>
          <w:p>
            <w:pP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物联网工程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70</w:t>
            </w:r>
          </w:p>
        </w:tc>
        <w:tc>
          <w:tcPr>
            <w:tcW w:w="395" w:type="pct"/>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计算机与人工智能学院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软件工程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DengXian" w:cs="宋体"/>
                <w:color w:val="auto"/>
                <w:sz w:val="20"/>
                <w:szCs w:val="20"/>
                <w:lang w:val="en-US" w:eastAsia="zh-CN"/>
              </w:rPr>
            </w:pPr>
            <w:r>
              <w:rPr>
                <w:rFonts w:hint="eastAsia" w:ascii="仿宋_GB2312" w:eastAsia="仿宋_GB2312"/>
                <w:color w:val="auto"/>
                <w:sz w:val="24"/>
                <w:lang w:val="en-US" w:eastAsia="zh-CN"/>
              </w:rPr>
              <w:t>125</w:t>
            </w:r>
          </w:p>
        </w:tc>
        <w:tc>
          <w:tcPr>
            <w:tcW w:w="395" w:type="pct"/>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274</w:t>
            </w: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bidi="ar"/>
              </w:rPr>
              <w:t>软件工程</w:t>
            </w:r>
            <w:r>
              <w:rPr>
                <w:rFonts w:hint="eastAsia" w:ascii="宋体" w:hAnsi="宋体" w:cs="宋体"/>
                <w:color w:val="auto"/>
                <w:kern w:val="0"/>
                <w:sz w:val="20"/>
                <w:szCs w:val="20"/>
                <w:lang w:val="en-US" w:eastAsia="zh-CN" w:bidi="ar"/>
              </w:rPr>
              <w:t>(专升本）</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二年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仿宋_GB2312" w:eastAsia="仿宋_GB2312"/>
                <w:color w:val="auto"/>
                <w:sz w:val="24"/>
                <w:lang w:val="en-US" w:eastAsia="zh-CN"/>
              </w:rPr>
              <w:t>50</w:t>
            </w:r>
          </w:p>
        </w:tc>
        <w:tc>
          <w:tcPr>
            <w:tcW w:w="395" w:type="pct"/>
            <w:vMerge w:val="continue"/>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信息管理与信息系统</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仿宋_GB2312" w:eastAsia="仿宋_GB2312"/>
                <w:color w:val="auto"/>
                <w:sz w:val="24"/>
                <w:lang w:val="en-US" w:eastAsia="zh-CN"/>
              </w:rPr>
              <w:t>33</w:t>
            </w:r>
          </w:p>
        </w:tc>
        <w:tc>
          <w:tcPr>
            <w:tcW w:w="395" w:type="pct"/>
            <w:vMerge w:val="continue"/>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信息与计算科学</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仿宋_GB2312" w:eastAsia="仿宋_GB2312"/>
                <w:color w:val="auto"/>
                <w:sz w:val="24"/>
                <w:lang w:val="en-US" w:eastAsia="zh-CN"/>
              </w:rPr>
              <w:t>66</w:t>
            </w:r>
          </w:p>
        </w:tc>
        <w:tc>
          <w:tcPr>
            <w:tcW w:w="395"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建筑与土木工程学院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土木工程</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138</w:t>
            </w:r>
          </w:p>
        </w:tc>
        <w:tc>
          <w:tcPr>
            <w:tcW w:w="395" w:type="pct"/>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417</w:t>
            </w:r>
          </w:p>
        </w:tc>
      </w:tr>
      <w:tr>
        <w:tblPrEx>
          <w:tblCellMar>
            <w:top w:w="15" w:type="dxa"/>
            <w:left w:w="15" w:type="dxa"/>
            <w:bottom w:w="15" w:type="dxa"/>
            <w:right w:w="15" w:type="dxa"/>
          </w:tblCellMar>
        </w:tblPrEx>
        <w:trPr>
          <w:trHeight w:val="340" w:hRule="atLeast"/>
        </w:trPr>
        <w:tc>
          <w:tcPr>
            <w:tcW w:w="9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土木工程（专升本）</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二年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47</w:t>
            </w: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工程管理</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工程造价</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78</w:t>
            </w: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建筑学</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五年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71</w:t>
            </w: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风景园林</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51</w:t>
            </w: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商学院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国际经济与贸易</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146</w:t>
            </w:r>
          </w:p>
        </w:tc>
        <w:tc>
          <w:tcPr>
            <w:tcW w:w="39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928</w:t>
            </w: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国际经济与贸易（专升本）</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二年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sz w:val="20"/>
                <w:szCs w:val="20"/>
                <w:lang w:val="en-US" w:eastAsia="zh-CN"/>
              </w:rPr>
            </w:pPr>
            <w:r>
              <w:rPr>
                <w:rFonts w:hint="eastAsia" w:ascii="宋体" w:hAnsi="宋体" w:cs="宋体"/>
                <w:color w:val="auto"/>
                <w:kern w:val="0"/>
                <w:sz w:val="20"/>
                <w:szCs w:val="20"/>
                <w:lang w:val="en-US" w:eastAsia="zh-CN" w:bidi="ar"/>
              </w:rPr>
              <w:t>48</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投资学</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124</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财务管理</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188</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财务管理（专升本）</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二年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133</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市场营销</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105</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市场营销</w:t>
            </w:r>
            <w:r>
              <w:rPr>
                <w:rFonts w:hint="eastAsia" w:ascii="宋体" w:hAnsi="宋体" w:cs="宋体"/>
                <w:color w:val="auto"/>
                <w:kern w:val="0"/>
                <w:sz w:val="20"/>
                <w:szCs w:val="20"/>
                <w:lang w:val="en-US" w:eastAsia="zh-CN" w:bidi="ar"/>
              </w:rPr>
              <w:t>(专升本）</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二年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184</w:t>
            </w:r>
          </w:p>
        </w:tc>
        <w:tc>
          <w:tcPr>
            <w:tcW w:w="395"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eastAsia="zh-CN" w:bidi="ar"/>
              </w:rPr>
              <w:t>艺术与传媒学院</w:t>
            </w: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传播学</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141</w:t>
            </w:r>
          </w:p>
        </w:tc>
        <w:tc>
          <w:tcPr>
            <w:tcW w:w="395" w:type="pct"/>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324</w:t>
            </w: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eastAsia="zh-CN" w:bidi="ar"/>
              </w:rPr>
            </w:pPr>
            <w:r>
              <w:rPr>
                <w:rFonts w:hint="eastAsia" w:ascii="宋体" w:hAnsi="宋体" w:cs="宋体"/>
                <w:color w:val="auto"/>
                <w:kern w:val="0"/>
                <w:sz w:val="20"/>
                <w:szCs w:val="20"/>
                <w:lang w:bidi="ar"/>
              </w:rPr>
              <w:t>传播学</w:t>
            </w:r>
            <w:r>
              <w:rPr>
                <w:rFonts w:hint="eastAsia" w:ascii="宋体" w:hAnsi="宋体" w:cs="宋体"/>
                <w:color w:val="auto"/>
                <w:kern w:val="0"/>
                <w:sz w:val="20"/>
                <w:szCs w:val="20"/>
                <w:lang w:eastAsia="zh-CN" w:bidi="ar"/>
              </w:rPr>
              <w:t>（专升本）</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二年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44</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广告学</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DengXian" w:cs="宋体"/>
                <w:color w:val="auto"/>
                <w:kern w:val="0"/>
                <w:sz w:val="20"/>
                <w:szCs w:val="20"/>
                <w:lang w:val="en-US" w:eastAsia="zh-CN" w:bidi="ar"/>
              </w:rPr>
            </w:pPr>
            <w:r>
              <w:rPr>
                <w:rFonts w:hint="eastAsia" w:ascii="宋体" w:hAnsi="宋体" w:cs="宋体"/>
                <w:color w:val="auto"/>
                <w:kern w:val="0"/>
                <w:sz w:val="20"/>
                <w:szCs w:val="20"/>
                <w:lang w:val="en-US" w:eastAsia="zh-CN" w:bidi="ar"/>
              </w:rPr>
              <w:t>78</w:t>
            </w:r>
          </w:p>
        </w:tc>
        <w:tc>
          <w:tcPr>
            <w:tcW w:w="395"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动画</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36</w:t>
            </w:r>
          </w:p>
        </w:tc>
        <w:tc>
          <w:tcPr>
            <w:tcW w:w="395" w:type="pct"/>
            <w:vMerge w:val="continue"/>
            <w:tcBorders>
              <w:left w:val="single" w:color="000000" w:sz="4" w:space="0"/>
              <w:right w:val="single" w:color="000000" w:sz="4" w:space="0"/>
            </w:tcBorders>
            <w:noWrap w:val="0"/>
            <w:vAlign w:val="center"/>
          </w:tcPr>
          <w:p>
            <w:pPr>
              <w:jc w:val="center"/>
              <w:rPr>
                <w:rFonts w:hint="default" w:ascii="宋体" w:hAnsi="宋体" w:eastAsia="宋体" w:cs="宋体"/>
                <w:color w:val="auto"/>
                <w:sz w:val="20"/>
                <w:szCs w:val="20"/>
                <w:lang w:val="en-US" w:eastAsia="zh-CN"/>
              </w:rPr>
            </w:pPr>
          </w:p>
        </w:tc>
      </w:tr>
      <w:tr>
        <w:tblPrEx>
          <w:tblCellMar>
            <w:top w:w="15" w:type="dxa"/>
            <w:left w:w="15" w:type="dxa"/>
            <w:bottom w:w="15" w:type="dxa"/>
            <w:right w:w="15" w:type="dxa"/>
          </w:tblCellMar>
        </w:tblPrEx>
        <w:trPr>
          <w:trHeight w:val="340" w:hRule="atLeast"/>
        </w:trPr>
        <w:tc>
          <w:tcPr>
            <w:tcW w:w="958"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c>
          <w:tcPr>
            <w:tcW w:w="17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音乐表演</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本科</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四年</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25</w:t>
            </w:r>
          </w:p>
        </w:tc>
        <w:tc>
          <w:tcPr>
            <w:tcW w:w="395"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bl>
    <w:p>
      <w:pPr>
        <w:spacing w:line="360" w:lineRule="auto"/>
        <w:jc w:val="center"/>
        <w:rPr>
          <w:rFonts w:ascii="仿宋_GB2312" w:hAnsi="宋体" w:eastAsia="仿宋_GB2312" w:cs="仿宋_GB2312"/>
          <w:bCs/>
          <w:color w:val="000000"/>
          <w:spacing w:val="15"/>
          <w:kern w:val="0"/>
          <w:sz w:val="30"/>
          <w:szCs w:val="30"/>
          <w:shd w:val="clear" w:color="auto" w:fill="FFFFFF"/>
          <w:lang w:val="en-US"/>
        </w:rPr>
      </w:pPr>
      <w:r>
        <w:rPr>
          <w:rFonts w:hint="eastAsia" w:ascii="宋体" w:hAnsi="宋体" w:cs="宋体"/>
          <w:b/>
          <w:bCs/>
          <w:sz w:val="36"/>
        </w:rPr>
        <w:t>◆学校介绍</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厦门工学院是经国家教育部批准设立的全日制普通本科院校。</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地处我国改革开放最早经济特区之一、海上花园城市——福建省厦门市，坐落在被毛泽东主席誉为“华侨旗帜、民族光辉”的华侨领袖、中国民办教育优秀典范陈嘉庚先生的故乡——集美大学城。学校占地面积86.94万平方米(1304.13亩），已投入使用的校舍建筑面积39.71万平方米。这里毗邻杏林湾、浔江湾、园博苑，近旁还有碧溪风景区与交通枢纽厦门北站。背依青山，前瞻大海，校舍俨然，鸟语花香，拥有靓丽的校园风光和充裕的学习条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目前设置有机械与制造工程学院、电子与电气工程学院、建筑与土木工程学院、计算机与人工智能学院、商学院、艺术与传媒学院、外国语学院、博雅教育学院等教学单位，共设33个本科专业，还设有国学院等机构，是一所以工科为主，理学、经济、管理、文学、艺术等多学科协调发展的学校。</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已经建设了一支力量雄厚的师资队伍和素质上乘的教学管理团队。现有专任教师573人，其中自有专任教师具有硕士、博士学位的教师，占比89.07%；具有高级专业技术职务的教师119人，占比33.06%。教师队伍中，双聘院士3人、长江学者2人，享受国务院政府特殊津贴2人，新世纪优秀人才支持计划1人，福建省高等学校新世纪优秀人才支持计划3人，福建省高校杰出青年科研人才培育计划8人，曾担任博士生导师、硕士生导师的47人。</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学校图书馆总面积3.9万平方米，馆藏纸质图书80余万册，可使用电子图书88.7万种。拥有CNKI数据库、超星数字图书馆，加入“福建省高校数字图书馆”FULink平台，还可以共享西安交通大学数字图书馆资源。</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不仅建有完备的教学设施，而且建设了系列的校园文化设施和文化景观：至未园、卓尔园、天工园、天鹭园、音乐厅、音乐港、射艺馆、工程文化馆、展览馆、艺术展览厅等等，构成了独特的校园文化表达体系。</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学校建有142间各类实验室、实训室。其中，工程坊拥有先进的实习实训设施。学校还建有135个校外实习基地，与许多知名企业建立合作关系，广泛开展产学研合作教育。</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学校现有4个省级教学示范中心、2个省级虚拟仿真实验教学中心，还有若干高校示范性、应用型专业群、高校服务产业特色专业、高校专业综合改革试点项目等。近年来获得了一大批省级科研与教改项目。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学校坚持“应用型、地方性、国际化”的办学定位，积极对接地方经济与文化建设的需要，积极推动国际化办学，与英国、加拿大、美国等国家的部分高校建立了合作关系，并在学校内部进行国际化教学实验。</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学校还与西安交通大学、华侨大学、厦门大学等国内知名高校建立了长期的、稳定的合作关系，合作共建研究机构，合作培养人才，推动了学校教育水平的提升。</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2021年，我校共有6个二级学院、28个专业2635名应届本科毕业生，热诚邀请各用人单位来我校招聘人才！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7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DengXi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DengXian"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蝈蝈</cp:lastModifiedBy>
  <dcterms:modified xsi:type="dcterms:W3CDTF">2020-10-12T08:21:09Z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